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41F4" w14:textId="77777777" w:rsidR="0047266E" w:rsidRDefault="0047266E">
      <w:pPr>
        <w:pStyle w:val="Corpsdetexte"/>
        <w:rPr>
          <w:rFonts w:ascii="Times New Roman"/>
        </w:rPr>
      </w:pPr>
    </w:p>
    <w:p w14:paraId="4E81EFBA" w14:textId="77777777" w:rsidR="0047266E" w:rsidRDefault="0047266E">
      <w:pPr>
        <w:pStyle w:val="Corpsdetexte"/>
        <w:spacing w:before="1"/>
        <w:rPr>
          <w:rFonts w:ascii="Times New Roman"/>
          <w:sz w:val="23"/>
        </w:rPr>
      </w:pPr>
    </w:p>
    <w:p w14:paraId="69D69459" w14:textId="77777777" w:rsidR="0047266E" w:rsidRDefault="0047266E">
      <w:pPr>
        <w:rPr>
          <w:rFonts w:ascii="Times New Roman"/>
          <w:sz w:val="23"/>
        </w:rPr>
        <w:sectPr w:rsidR="0047266E">
          <w:type w:val="continuous"/>
          <w:pgSz w:w="16840" w:h="11910" w:orient="landscape"/>
          <w:pgMar w:top="160" w:right="600" w:bottom="280" w:left="620" w:header="720" w:footer="720" w:gutter="0"/>
          <w:cols w:space="720"/>
        </w:sectPr>
      </w:pPr>
    </w:p>
    <w:p w14:paraId="68061C1B" w14:textId="39F379FE" w:rsidR="0047266E" w:rsidRPr="008D3C95" w:rsidRDefault="00242357" w:rsidP="008D3C95">
      <w:pPr>
        <w:pStyle w:val="Titre2"/>
        <w:ind w:left="2127"/>
        <w:jc w:val="left"/>
        <w:rPr>
          <w:sz w:val="22"/>
          <w:szCs w:val="22"/>
          <w:u w:val="none"/>
        </w:rPr>
      </w:pPr>
      <w:r w:rsidRPr="008D3C95">
        <w:rPr>
          <w:sz w:val="22"/>
          <w:szCs w:val="22"/>
          <w:u w:val="none"/>
        </w:rPr>
        <w:t>P</w:t>
      </w:r>
      <w:r w:rsidR="00475CB3" w:rsidRPr="008D3C95">
        <w:rPr>
          <w:sz w:val="22"/>
          <w:szCs w:val="22"/>
          <w:u w:val="none"/>
        </w:rPr>
        <w:t>ERSPECTIVES</w:t>
      </w:r>
      <w:r w:rsidRPr="008D3C95">
        <w:rPr>
          <w:spacing w:val="-3"/>
          <w:sz w:val="22"/>
          <w:szCs w:val="22"/>
          <w:u w:val="none"/>
        </w:rPr>
        <w:t xml:space="preserve"> </w:t>
      </w:r>
      <w:r w:rsidRPr="008D3C95">
        <w:rPr>
          <w:sz w:val="22"/>
          <w:szCs w:val="22"/>
          <w:u w:val="none"/>
        </w:rPr>
        <w:t>202</w:t>
      </w:r>
      <w:r w:rsidR="00774C95" w:rsidRPr="008D3C95">
        <w:rPr>
          <w:sz w:val="22"/>
          <w:szCs w:val="22"/>
          <w:u w:val="none"/>
        </w:rPr>
        <w:t>4</w:t>
      </w:r>
    </w:p>
    <w:p w14:paraId="7D55B28F" w14:textId="75354194" w:rsidR="000C7A60" w:rsidRDefault="00292E95" w:rsidP="00FD199F">
      <w:pPr>
        <w:pStyle w:val="Corpsdetexte"/>
        <w:ind w:left="102" w:right="41"/>
        <w:jc w:val="both"/>
        <w:rPr>
          <w:bCs/>
        </w:rPr>
      </w:pPr>
      <w:r w:rsidRPr="008D77A5">
        <w:rPr>
          <w:b/>
        </w:rPr>
        <w:t>Du point de vue écono</w:t>
      </w:r>
      <w:r w:rsidR="006610D5" w:rsidRPr="008D77A5">
        <w:rPr>
          <w:b/>
        </w:rPr>
        <w:t>mique</w:t>
      </w:r>
      <w:r w:rsidR="006610D5" w:rsidRPr="00EE4DAD">
        <w:rPr>
          <w:bCs/>
        </w:rPr>
        <w:t xml:space="preserve">, l’année </w:t>
      </w:r>
      <w:r w:rsidR="00FD199F" w:rsidRPr="00EE4DAD">
        <w:rPr>
          <w:bCs/>
        </w:rPr>
        <w:t>2023 a</w:t>
      </w:r>
      <w:r w:rsidRPr="00EE4DAD">
        <w:rPr>
          <w:bCs/>
        </w:rPr>
        <w:t xml:space="preserve"> été marquée par la rénovation complète de notre système de « Climatisation, Ventilation, Chauffage » devenu « obsolète » pour un coût total de 325 k€</w:t>
      </w:r>
      <w:r w:rsidR="00245AB4">
        <w:rPr>
          <w:bCs/>
        </w:rPr>
        <w:t xml:space="preserve"> (sans </w:t>
      </w:r>
      <w:r w:rsidR="004F2D0A">
        <w:rPr>
          <w:bCs/>
        </w:rPr>
        <w:t>a</w:t>
      </w:r>
      <w:r w:rsidR="00245AB4">
        <w:rPr>
          <w:bCs/>
        </w:rPr>
        <w:t>voir à recourir à l’emprunt)</w:t>
      </w:r>
      <w:r w:rsidR="00FD199F" w:rsidRPr="00EE4DAD">
        <w:rPr>
          <w:bCs/>
        </w:rPr>
        <w:t xml:space="preserve">. </w:t>
      </w:r>
    </w:p>
    <w:p w14:paraId="1E4087E9" w14:textId="28383539" w:rsidR="000262E9" w:rsidRPr="00EE4DAD" w:rsidRDefault="00FD199F" w:rsidP="00FD199F">
      <w:pPr>
        <w:pStyle w:val="Corpsdetexte"/>
        <w:ind w:left="102" w:right="41"/>
        <w:jc w:val="both"/>
        <w:rPr>
          <w:bCs/>
          <w:strike/>
        </w:rPr>
      </w:pPr>
      <w:r w:rsidRPr="00EE4DAD">
        <w:rPr>
          <w:bCs/>
        </w:rPr>
        <w:t>Le 3</w:t>
      </w:r>
      <w:r w:rsidR="000C7A60">
        <w:rPr>
          <w:bCs/>
        </w:rPr>
        <w:t>1</w:t>
      </w:r>
      <w:r w:rsidRPr="00EE4DAD">
        <w:rPr>
          <w:bCs/>
        </w:rPr>
        <w:t xml:space="preserve"> décembre 2023, un incendie s’est déclaré dans l’immeuble mitoyen occasionnant des dégâts</w:t>
      </w:r>
      <w:r w:rsidR="000C7A60">
        <w:rPr>
          <w:bCs/>
        </w:rPr>
        <w:t xml:space="preserve"> des eaux</w:t>
      </w:r>
      <w:r w:rsidRPr="00EE4DAD">
        <w:rPr>
          <w:bCs/>
        </w:rPr>
        <w:t xml:space="preserve"> importants dans notre bâtiment dont la remise en état</w:t>
      </w:r>
      <w:r w:rsidR="00245AB4">
        <w:rPr>
          <w:bCs/>
        </w:rPr>
        <w:t>, qui</w:t>
      </w:r>
      <w:r w:rsidRPr="00EE4DAD">
        <w:rPr>
          <w:bCs/>
        </w:rPr>
        <w:t xml:space="preserve"> s’élève à 39k€, </w:t>
      </w:r>
      <w:r w:rsidR="00245AB4">
        <w:rPr>
          <w:bCs/>
        </w:rPr>
        <w:t xml:space="preserve">est </w:t>
      </w:r>
      <w:r w:rsidRPr="00EE4DAD">
        <w:rPr>
          <w:bCs/>
        </w:rPr>
        <w:t>entièrement prise en charge par notre assureur.</w:t>
      </w:r>
    </w:p>
    <w:p w14:paraId="27093CC4" w14:textId="0E34E4F7" w:rsidR="00292E95" w:rsidRPr="00EE4DAD" w:rsidRDefault="00292E95" w:rsidP="00292E95">
      <w:pPr>
        <w:pStyle w:val="Corpsdetexte"/>
        <w:ind w:left="102" w:right="41"/>
        <w:jc w:val="both"/>
        <w:rPr>
          <w:bCs/>
        </w:rPr>
      </w:pPr>
      <w:r w:rsidRPr="00EE4DAD">
        <w:rPr>
          <w:bCs/>
        </w:rPr>
        <w:t xml:space="preserve">En 2024 sont programmés un diagnostic </w:t>
      </w:r>
      <w:r w:rsidR="00680B6D" w:rsidRPr="00EE4DAD">
        <w:rPr>
          <w:bCs/>
        </w:rPr>
        <w:t>de solidité de nos façades et le</w:t>
      </w:r>
      <w:r w:rsidRPr="00EE4DAD">
        <w:rPr>
          <w:bCs/>
        </w:rPr>
        <w:t xml:space="preserve"> renouvellement de la sonorisation de l’Eglise.</w:t>
      </w:r>
    </w:p>
    <w:p w14:paraId="286CE92C" w14:textId="77777777" w:rsidR="00292E95" w:rsidRPr="00EE4DAD" w:rsidRDefault="00292E95" w:rsidP="00292E95">
      <w:pPr>
        <w:pStyle w:val="Corpsdetexte"/>
        <w:ind w:left="102" w:right="41"/>
        <w:jc w:val="both"/>
        <w:rPr>
          <w:bCs/>
        </w:rPr>
      </w:pPr>
      <w:r w:rsidRPr="00EE4DAD">
        <w:rPr>
          <w:bCs/>
        </w:rPr>
        <w:t>Toutes nos dépenses prévues à ce jour continuent d’être couvertes par la trésorerie existante et les flux d’exploitation.</w:t>
      </w:r>
    </w:p>
    <w:p w14:paraId="66D6FF6C" w14:textId="10443FB6" w:rsidR="008D2FDF" w:rsidRPr="000C7A60" w:rsidRDefault="00292E95" w:rsidP="008D2FDF">
      <w:pPr>
        <w:pStyle w:val="Corpsdetexte"/>
        <w:ind w:left="102" w:right="41"/>
        <w:jc w:val="both"/>
        <w:rPr>
          <w:bCs/>
        </w:rPr>
      </w:pPr>
      <w:r w:rsidRPr="008D77A5">
        <w:rPr>
          <w:b/>
        </w:rPr>
        <w:t>Nos actions de solidarité</w:t>
      </w:r>
      <w:r w:rsidRPr="00EE4DAD">
        <w:rPr>
          <w:bCs/>
        </w:rPr>
        <w:t xml:space="preserve"> </w:t>
      </w:r>
      <w:r w:rsidR="008520FF" w:rsidRPr="00EE4DAD">
        <w:rPr>
          <w:bCs/>
        </w:rPr>
        <w:t>se développent</w:t>
      </w:r>
      <w:r w:rsidR="000A74D1" w:rsidRPr="00EE4DAD">
        <w:rPr>
          <w:bCs/>
        </w:rPr>
        <w:t xml:space="preserve"> : Hiver Solidaire AN </w:t>
      </w:r>
      <w:r w:rsidRPr="00EE4DAD">
        <w:rPr>
          <w:bCs/>
        </w:rPr>
        <w:t>I</w:t>
      </w:r>
      <w:r w:rsidR="000A74D1" w:rsidRPr="00EE4DAD">
        <w:rPr>
          <w:bCs/>
        </w:rPr>
        <w:t>V</w:t>
      </w:r>
      <w:r w:rsidRPr="00EE4DAD">
        <w:rPr>
          <w:bCs/>
        </w:rPr>
        <w:t xml:space="preserve">, </w:t>
      </w:r>
      <w:r w:rsidR="008D77A5">
        <w:rPr>
          <w:bCs/>
        </w:rPr>
        <w:t>« </w:t>
      </w:r>
      <w:r w:rsidRPr="00EE4DAD">
        <w:rPr>
          <w:bCs/>
        </w:rPr>
        <w:t>Contribution Volontaire de Solidarité</w:t>
      </w:r>
      <w:r w:rsidR="008D77A5">
        <w:rPr>
          <w:bCs/>
        </w:rPr>
        <w:t> »</w:t>
      </w:r>
      <w:r w:rsidRPr="00EE4DAD">
        <w:rPr>
          <w:bCs/>
        </w:rPr>
        <w:t xml:space="preserve"> (15k€) et </w:t>
      </w:r>
      <w:r w:rsidR="008D77A5">
        <w:rPr>
          <w:bCs/>
        </w:rPr>
        <w:t>« </w:t>
      </w:r>
      <w:r w:rsidR="000C7A60">
        <w:rPr>
          <w:bCs/>
        </w:rPr>
        <w:t>d</w:t>
      </w:r>
      <w:r w:rsidRPr="00EE4DAD">
        <w:rPr>
          <w:bCs/>
        </w:rPr>
        <w:t>on Barnabé</w:t>
      </w:r>
      <w:r w:rsidR="008D77A5">
        <w:rPr>
          <w:bCs/>
        </w:rPr>
        <w:t> »</w:t>
      </w:r>
      <w:r w:rsidRPr="00EE4DAD">
        <w:rPr>
          <w:bCs/>
        </w:rPr>
        <w:t xml:space="preserve"> (15 K€) </w:t>
      </w:r>
      <w:r w:rsidR="000C7A60">
        <w:rPr>
          <w:bCs/>
        </w:rPr>
        <w:t xml:space="preserve">en faveur de </w:t>
      </w:r>
      <w:r w:rsidRPr="00EE4DAD">
        <w:rPr>
          <w:bCs/>
        </w:rPr>
        <w:t>paroisse</w:t>
      </w:r>
      <w:r w:rsidR="000C7A60">
        <w:rPr>
          <w:bCs/>
        </w:rPr>
        <w:t>s</w:t>
      </w:r>
      <w:r w:rsidRPr="00EE4DAD">
        <w:rPr>
          <w:bCs/>
        </w:rPr>
        <w:t xml:space="preserve"> </w:t>
      </w:r>
      <w:r w:rsidR="008D2FDF" w:rsidRPr="00EE4DAD">
        <w:rPr>
          <w:bCs/>
        </w:rPr>
        <w:t>moins aisée</w:t>
      </w:r>
      <w:r w:rsidR="000C7A60">
        <w:rPr>
          <w:bCs/>
        </w:rPr>
        <w:t>s</w:t>
      </w:r>
      <w:r w:rsidRPr="00EE4DAD">
        <w:rPr>
          <w:bCs/>
        </w:rPr>
        <w:t>.</w:t>
      </w:r>
      <w:r w:rsidR="00680B6D" w:rsidRPr="00EE4DAD">
        <w:rPr>
          <w:bCs/>
        </w:rPr>
        <w:t xml:space="preserve"> Une réflexion</w:t>
      </w:r>
      <w:r w:rsidR="00680B6D" w:rsidRPr="000C7A60">
        <w:rPr>
          <w:bCs/>
        </w:rPr>
        <w:t xml:space="preserve"> est engagée sur d’autres actions ponctuelles</w:t>
      </w:r>
      <w:r w:rsidR="000C7A60" w:rsidRPr="000C7A60">
        <w:rPr>
          <w:bCs/>
        </w:rPr>
        <w:t xml:space="preserve"> de solidarité</w:t>
      </w:r>
      <w:r w:rsidR="00680B6D" w:rsidRPr="000C7A60">
        <w:rPr>
          <w:bCs/>
        </w:rPr>
        <w:t xml:space="preserve"> en fonction de situations particulières </w:t>
      </w:r>
      <w:r w:rsidR="000C7A60" w:rsidRPr="000C7A60">
        <w:rPr>
          <w:bCs/>
        </w:rPr>
        <w:t xml:space="preserve">qui attirent notre </w:t>
      </w:r>
      <w:r w:rsidR="00680B6D" w:rsidRPr="000C7A60">
        <w:rPr>
          <w:bCs/>
        </w:rPr>
        <w:t>attention.</w:t>
      </w:r>
      <w:r w:rsidRPr="000C7A60">
        <w:rPr>
          <w:bCs/>
        </w:rPr>
        <w:t xml:space="preserve"> </w:t>
      </w:r>
    </w:p>
    <w:p w14:paraId="24852AD4" w14:textId="4916AC2E" w:rsidR="00292E95" w:rsidRPr="000C7A60" w:rsidRDefault="008520FF" w:rsidP="008D2FDF">
      <w:pPr>
        <w:pStyle w:val="Corpsdetexte"/>
        <w:ind w:left="102" w:right="41"/>
        <w:jc w:val="both"/>
      </w:pPr>
      <w:r w:rsidRPr="000C7A60">
        <w:t>U</w:t>
      </w:r>
      <w:r w:rsidR="00680B6D" w:rsidRPr="000C7A60">
        <w:t>n fil conducteur constant</w:t>
      </w:r>
      <w:r w:rsidRPr="000C7A60">
        <w:t xml:space="preserve"> : </w:t>
      </w:r>
      <w:r w:rsidR="000C7A60" w:rsidRPr="000C7A60">
        <w:t xml:space="preserve">maintenir </w:t>
      </w:r>
      <w:r w:rsidRPr="000C7A60">
        <w:t>nos réserves</w:t>
      </w:r>
      <w:r w:rsidR="008D2FDF" w:rsidRPr="000C7A60">
        <w:t xml:space="preserve"> </w:t>
      </w:r>
      <w:r w:rsidR="000C7A60" w:rsidRPr="000C7A60">
        <w:t xml:space="preserve">à un niveau suffisant </w:t>
      </w:r>
      <w:r w:rsidR="008D2FDF" w:rsidRPr="000C7A60">
        <w:t>dans un souci d’avenir</w:t>
      </w:r>
      <w:r w:rsidR="000C7A60" w:rsidRPr="000C7A60">
        <w:t xml:space="preserve"> </w:t>
      </w:r>
      <w:r w:rsidR="00245AB4">
        <w:t>(notre église a été construite après la loi de séparation de 1905)</w:t>
      </w:r>
      <w:r w:rsidRPr="000C7A60">
        <w:t xml:space="preserve"> et convaincre de nouveaux donateurs </w:t>
      </w:r>
      <w:r w:rsidR="000C7A60" w:rsidRPr="000C7A60">
        <w:t>de</w:t>
      </w:r>
      <w:r w:rsidRPr="000C7A60">
        <w:t xml:space="preserve"> </w:t>
      </w:r>
      <w:r w:rsidR="00EE4DAD" w:rsidRPr="000C7A60">
        <w:t xml:space="preserve">participer </w:t>
      </w:r>
      <w:r w:rsidR="000F2899" w:rsidRPr="000C7A60">
        <w:t>au Denier</w:t>
      </w:r>
      <w:r w:rsidRPr="000C7A60">
        <w:t xml:space="preserve"> de l’Eglise.</w:t>
      </w:r>
    </w:p>
    <w:p w14:paraId="1FF9000A" w14:textId="77777777" w:rsidR="008D2FDF" w:rsidRPr="00EE4DAD" w:rsidRDefault="008D2FDF" w:rsidP="00292E95">
      <w:pPr>
        <w:pStyle w:val="Corpsdetexte"/>
        <w:spacing w:before="12"/>
        <w:rPr>
          <w:sz w:val="19"/>
        </w:rPr>
      </w:pPr>
    </w:p>
    <w:p w14:paraId="6BDC5DD1" w14:textId="1E137892" w:rsidR="00292E95" w:rsidRPr="008D3C95" w:rsidRDefault="00292E95" w:rsidP="00292E95">
      <w:pPr>
        <w:pStyle w:val="Titre2"/>
        <w:spacing w:before="0"/>
        <w:ind w:left="2128"/>
        <w:rPr>
          <w:sz w:val="22"/>
          <w:szCs w:val="22"/>
          <w:u w:val="none"/>
        </w:rPr>
      </w:pPr>
      <w:r w:rsidRPr="008D3C95">
        <w:rPr>
          <w:sz w:val="22"/>
          <w:szCs w:val="22"/>
          <w:u w:val="none"/>
        </w:rPr>
        <w:t>I</w:t>
      </w:r>
      <w:r w:rsidR="001F2B0F" w:rsidRPr="008D3C95">
        <w:rPr>
          <w:sz w:val="22"/>
          <w:szCs w:val="22"/>
          <w:u w:val="none"/>
        </w:rPr>
        <w:t>NFORMATION SUR LE CONSEIL ECONOMIQUE</w:t>
      </w:r>
      <w:r w:rsidR="008D77A5" w:rsidRPr="008D3C95">
        <w:rPr>
          <w:sz w:val="22"/>
          <w:szCs w:val="22"/>
          <w:u w:val="none"/>
        </w:rPr>
        <w:t xml:space="preserve"> </w:t>
      </w:r>
    </w:p>
    <w:p w14:paraId="50C0C16C" w14:textId="0E97A6D5" w:rsidR="00292E95" w:rsidRPr="00EE4DAD" w:rsidRDefault="00292E95" w:rsidP="00292E95">
      <w:pPr>
        <w:pStyle w:val="Corpsdetexte"/>
        <w:jc w:val="both"/>
      </w:pPr>
      <w:r w:rsidRPr="008D77A5">
        <w:rPr>
          <w:b/>
          <w:bCs/>
        </w:rPr>
        <w:t>Le Conseil Paroissial pour les Affaires Economiques</w:t>
      </w:r>
      <w:r w:rsidRPr="00EE4DAD">
        <w:t xml:space="preserve"> </w:t>
      </w:r>
      <w:proofErr w:type="gramStart"/>
      <w:r w:rsidR="000C7A60">
        <w:t>a</w:t>
      </w:r>
      <w:proofErr w:type="gramEnd"/>
      <w:r w:rsidRPr="00EE4DAD">
        <w:t xml:space="preserve"> la mission de conseiller le curé dans sa tâche d’administrateur des biens de la paroisse sur les questions relevant principalement de la gestion immobilière, financière et matérielle de la </w:t>
      </w:r>
      <w:r w:rsidR="000C7A60">
        <w:t xml:space="preserve">vie </w:t>
      </w:r>
      <w:r w:rsidRPr="00EE4DAD">
        <w:t>paroissiale. Il se réunit collégialement au moins 4 fois par an. Entre temps, chacun de ses membres intervient, en fonction des besoins</w:t>
      </w:r>
      <w:r w:rsidR="000C7A60">
        <w:t xml:space="preserve"> et de ses talents</w:t>
      </w:r>
      <w:r w:rsidRPr="00EE4DAD">
        <w:t>, sur les dossiers dont il a la responsabilité. Une fois par an, le CPAE informe les paroissiens sur la gestion paroissiale. Toute l’année, chaque membre est à la disposition de la communauté paroissiale pour répondre aux questions éventuelles.</w:t>
      </w:r>
    </w:p>
    <w:p w14:paraId="0DC938E3" w14:textId="06A007A3" w:rsidR="00292E95" w:rsidRPr="00EE4DAD" w:rsidRDefault="00292E95" w:rsidP="00292E95">
      <w:pPr>
        <w:pStyle w:val="Corpsdetexte"/>
        <w:jc w:val="both"/>
      </w:pPr>
      <w:r w:rsidRPr="00EE4DAD">
        <w:t xml:space="preserve">Les membres du CPAE sont nommés par le curé pour un mandat de 3 ans renouvelable. </w:t>
      </w:r>
    </w:p>
    <w:p w14:paraId="7B9805BF" w14:textId="6AE7FA57" w:rsidR="00292E95" w:rsidRPr="00EE4DAD" w:rsidRDefault="003C18E1" w:rsidP="00292E95">
      <w:pPr>
        <w:pStyle w:val="Corpsdetexte"/>
        <w:jc w:val="both"/>
      </w:pPr>
      <w:r w:rsidRPr="008D77A5">
        <w:rPr>
          <w:b/>
          <w:bCs/>
        </w:rPr>
        <w:t>Les</w:t>
      </w:r>
      <w:r w:rsidR="00292E95" w:rsidRPr="008D77A5">
        <w:rPr>
          <w:b/>
          <w:bCs/>
        </w:rPr>
        <w:t xml:space="preserve"> membres du CPAE</w:t>
      </w:r>
      <w:r w:rsidR="00292E95" w:rsidRPr="00EE4DAD">
        <w:t xml:space="preserve"> sont actuellement : </w:t>
      </w:r>
      <w:r w:rsidRPr="00EE4DAD">
        <w:t>Claire ABDER</w:t>
      </w:r>
      <w:r w:rsidR="00504A8D" w:rsidRPr="00EE4DAD">
        <w:t>R</w:t>
      </w:r>
      <w:r w:rsidRPr="00EE4DAD">
        <w:t>A</w:t>
      </w:r>
      <w:r w:rsidR="00504A8D" w:rsidRPr="00EE4DAD">
        <w:t>H</w:t>
      </w:r>
      <w:r w:rsidRPr="00EE4DAD">
        <w:t xml:space="preserve">IM, </w:t>
      </w:r>
      <w:r w:rsidR="00292E95" w:rsidRPr="00EE4DAD">
        <w:t>Hélène AUDOIN, Luc BOURDON, Jean DUMONT, Jean-Louis FOURNAISE (Vice-Président),</w:t>
      </w:r>
      <w:r w:rsidR="000A74D1" w:rsidRPr="00EE4DAD">
        <w:t xml:space="preserve"> Catherine GIBERT,</w:t>
      </w:r>
      <w:r w:rsidR="00292E95" w:rsidRPr="00EE4DAD">
        <w:t xml:space="preserve"> Pascal SAGOT, Philippe SAINT-MACARY, Vincent BODOLEC (représentant l’Association Diocésaine de Paris). Lamartine VALCIN, comptable de la Paroisse participe aux réunions</w:t>
      </w:r>
      <w:r w:rsidR="000C7A60">
        <w:t>.</w:t>
      </w:r>
    </w:p>
    <w:p w14:paraId="77443D0B" w14:textId="77777777" w:rsidR="00292E95" w:rsidRDefault="00292E95">
      <w:pPr>
        <w:pStyle w:val="Corpsdetexte"/>
      </w:pPr>
    </w:p>
    <w:p w14:paraId="65A63572" w14:textId="77777777" w:rsidR="002B0427" w:rsidRDefault="002B0427" w:rsidP="00292E95">
      <w:pPr>
        <w:pStyle w:val="Titre1"/>
        <w:spacing w:before="157"/>
        <w:ind w:left="0"/>
        <w:rPr>
          <w:u w:val="none"/>
        </w:rPr>
      </w:pPr>
    </w:p>
    <w:p w14:paraId="48C7D803" w14:textId="3575A0E1" w:rsidR="00E738BA" w:rsidRPr="00E738BA" w:rsidRDefault="00E738BA" w:rsidP="00E738BA">
      <w:pPr>
        <w:pStyle w:val="Titre1"/>
        <w:spacing w:before="0"/>
        <w:ind w:left="0"/>
        <w:jc w:val="center"/>
        <w:rPr>
          <w:b w:val="0"/>
          <w:bCs w:val="0"/>
          <w:sz w:val="20"/>
          <w:szCs w:val="20"/>
          <w:u w:val="none"/>
        </w:rPr>
      </w:pPr>
      <w:r w:rsidRPr="00E738BA">
        <w:rPr>
          <w:b w:val="0"/>
          <w:bCs w:val="0"/>
          <w:sz w:val="20"/>
          <w:szCs w:val="20"/>
          <w:u w:val="none"/>
        </w:rPr>
        <w:t>Conseil Paroissial pour les Affaires Economiques</w:t>
      </w:r>
    </w:p>
    <w:p w14:paraId="72073163" w14:textId="5682E6B5" w:rsidR="00E738BA" w:rsidRPr="00E738BA" w:rsidRDefault="00E738BA" w:rsidP="00E738BA">
      <w:pPr>
        <w:pStyle w:val="Titre1"/>
        <w:spacing w:before="0"/>
        <w:ind w:left="0"/>
        <w:jc w:val="center"/>
        <w:rPr>
          <w:b w:val="0"/>
          <w:bCs w:val="0"/>
          <w:sz w:val="20"/>
          <w:szCs w:val="20"/>
          <w:u w:val="none"/>
        </w:rPr>
      </w:pPr>
      <w:r w:rsidRPr="00E738BA">
        <w:rPr>
          <w:b w:val="0"/>
          <w:bCs w:val="0"/>
          <w:sz w:val="20"/>
          <w:szCs w:val="20"/>
          <w:u w:val="none"/>
        </w:rPr>
        <w:t>NDE - Juin 2024</w:t>
      </w:r>
    </w:p>
    <w:p w14:paraId="1165369A" w14:textId="77777777" w:rsidR="00E738BA" w:rsidRDefault="00E738BA" w:rsidP="00292E95">
      <w:pPr>
        <w:pStyle w:val="Titre1"/>
        <w:spacing w:before="157"/>
        <w:ind w:left="0"/>
        <w:rPr>
          <w:u w:val="none"/>
        </w:rPr>
      </w:pPr>
    </w:p>
    <w:p w14:paraId="531CF5B3" w14:textId="3889C853" w:rsidR="00292E95" w:rsidRPr="008D3C95" w:rsidRDefault="00292E95" w:rsidP="00292E95">
      <w:pPr>
        <w:pStyle w:val="Titre1"/>
        <w:spacing w:before="157"/>
        <w:ind w:left="0"/>
        <w:rPr>
          <w:sz w:val="22"/>
          <w:szCs w:val="22"/>
          <w:u w:val="none"/>
        </w:rPr>
      </w:pPr>
      <w:r w:rsidRPr="008D3C95">
        <w:rPr>
          <w:sz w:val="22"/>
          <w:szCs w:val="22"/>
          <w:u w:val="none"/>
        </w:rPr>
        <w:t>COMPTE</w:t>
      </w:r>
      <w:r w:rsidRPr="008D3C95">
        <w:rPr>
          <w:spacing w:val="3"/>
          <w:sz w:val="22"/>
          <w:szCs w:val="22"/>
          <w:u w:val="none"/>
        </w:rPr>
        <w:t xml:space="preserve"> </w:t>
      </w:r>
      <w:r w:rsidRPr="008D3C95">
        <w:rPr>
          <w:sz w:val="22"/>
          <w:szCs w:val="22"/>
          <w:u w:val="none"/>
        </w:rPr>
        <w:t>RENDU DE</w:t>
      </w:r>
      <w:r w:rsidRPr="008D3C95">
        <w:rPr>
          <w:spacing w:val="-2"/>
          <w:sz w:val="22"/>
          <w:szCs w:val="22"/>
          <w:u w:val="none"/>
        </w:rPr>
        <w:t xml:space="preserve"> </w:t>
      </w:r>
      <w:r w:rsidRPr="008D3C95">
        <w:rPr>
          <w:sz w:val="22"/>
          <w:szCs w:val="22"/>
          <w:u w:val="none"/>
        </w:rPr>
        <w:t>GESTION</w:t>
      </w:r>
      <w:r w:rsidRPr="008D3C95">
        <w:rPr>
          <w:spacing w:val="-3"/>
          <w:sz w:val="22"/>
          <w:szCs w:val="22"/>
          <w:u w:val="none"/>
        </w:rPr>
        <w:t xml:space="preserve"> </w:t>
      </w:r>
      <w:r w:rsidR="006610D5" w:rsidRPr="008D3C95">
        <w:rPr>
          <w:sz w:val="22"/>
          <w:szCs w:val="22"/>
          <w:u w:val="none"/>
        </w:rPr>
        <w:t xml:space="preserve">DU CONSEIL ECONOMIQUE </w:t>
      </w:r>
      <w:r w:rsidR="00155AFD" w:rsidRPr="008D3C95">
        <w:rPr>
          <w:sz w:val="22"/>
          <w:szCs w:val="22"/>
          <w:u w:val="none"/>
        </w:rPr>
        <w:t xml:space="preserve">POUR </w:t>
      </w:r>
      <w:r w:rsidR="006610D5" w:rsidRPr="008D3C95">
        <w:rPr>
          <w:sz w:val="22"/>
          <w:szCs w:val="22"/>
          <w:u w:val="none"/>
        </w:rPr>
        <w:t>2023</w:t>
      </w:r>
    </w:p>
    <w:p w14:paraId="0F307952" w14:textId="4FB7A516" w:rsidR="00E91EEF" w:rsidRDefault="00292E95" w:rsidP="002B0427">
      <w:pPr>
        <w:pStyle w:val="Corpsdetexte"/>
        <w:jc w:val="both"/>
      </w:pPr>
      <w:r w:rsidRPr="000F2899">
        <w:t xml:space="preserve">Le Conseil Economique présente ci-après les comptes synthétisés de la </w:t>
      </w:r>
      <w:r w:rsidR="00155AFD">
        <w:t>p</w:t>
      </w:r>
      <w:r w:rsidRPr="000F2899">
        <w:t>aroisse pour l’année 202</w:t>
      </w:r>
      <w:r w:rsidR="00103615" w:rsidRPr="000F2899">
        <w:t>3</w:t>
      </w:r>
      <w:r w:rsidRPr="000F2899">
        <w:t>. Dans un contexte économique</w:t>
      </w:r>
      <w:r w:rsidR="00560B66" w:rsidRPr="000F2899">
        <w:t xml:space="preserve"> toujours</w:t>
      </w:r>
      <w:r w:rsidRPr="000F2899">
        <w:t xml:space="preserve"> </w:t>
      </w:r>
      <w:r w:rsidR="009A399A" w:rsidRPr="000F2899">
        <w:t>tendu</w:t>
      </w:r>
      <w:r w:rsidR="004F2D0A">
        <w:t>,</w:t>
      </w:r>
      <w:r w:rsidRPr="000F2899">
        <w:t xml:space="preserve"> marqué par</w:t>
      </w:r>
      <w:r w:rsidR="00AA0498" w:rsidRPr="000F2899">
        <w:t xml:space="preserve"> l’instabilité</w:t>
      </w:r>
      <w:r w:rsidRPr="000F2899">
        <w:t xml:space="preserve"> croissante de la </w:t>
      </w:r>
      <w:r w:rsidR="00903925" w:rsidRPr="000F2899">
        <w:t xml:space="preserve">situation </w:t>
      </w:r>
      <w:r w:rsidRPr="000F2899">
        <w:t xml:space="preserve">internationale liée </w:t>
      </w:r>
      <w:r w:rsidR="003C18E1" w:rsidRPr="000F2899">
        <w:t xml:space="preserve">à la multiplication des zones de conflits et de </w:t>
      </w:r>
      <w:r w:rsidR="006610D5" w:rsidRPr="000F2899">
        <w:t>tension</w:t>
      </w:r>
      <w:r w:rsidR="00560B66" w:rsidRPr="000F2899">
        <w:t xml:space="preserve"> en Europe et dans le monde</w:t>
      </w:r>
      <w:r w:rsidR="006610D5" w:rsidRPr="000F2899">
        <w:t>,</w:t>
      </w:r>
      <w:r w:rsidRPr="000F2899">
        <w:t xml:space="preserve"> il mesure pleinement les difficultés de chacun dans sa vie personnelle, familiale, professionnelle et sociale. Il compte sur le se</w:t>
      </w:r>
      <w:r w:rsidR="00EB70B2" w:rsidRPr="000F2899">
        <w:t>ntiment d’appartenance de tous</w:t>
      </w:r>
      <w:r w:rsidRPr="000F2899">
        <w:t xml:space="preserve"> à notre communauté paroissiale dynamique et attachante pour lui donner</w:t>
      </w:r>
      <w:r w:rsidR="008D77A5">
        <w:t>,</w:t>
      </w:r>
      <w:r w:rsidRPr="000F2899">
        <w:t xml:space="preserve"> en fonction de ses possibilités financières</w:t>
      </w:r>
      <w:r w:rsidR="008D77A5">
        <w:t>,</w:t>
      </w:r>
      <w:r w:rsidRPr="000F2899">
        <w:t xml:space="preserve"> les </w:t>
      </w:r>
      <w:r w:rsidR="00EB70B2" w:rsidRPr="000F2899">
        <w:t>moyens d’exister et de porter</w:t>
      </w:r>
      <w:r w:rsidRPr="000F2899">
        <w:t xml:space="preserve"> « hors les murs » les valeurs de l’Evangile</w:t>
      </w:r>
      <w:r w:rsidR="008D77A5">
        <w:t xml:space="preserve"> et son Espérance de justice et de paix</w:t>
      </w:r>
      <w:r w:rsidR="000C7A60">
        <w:t>.</w:t>
      </w:r>
    </w:p>
    <w:p w14:paraId="3FC7F600" w14:textId="77777777" w:rsidR="004F2D0A" w:rsidRPr="000F2899" w:rsidRDefault="004F2D0A" w:rsidP="002B0427">
      <w:pPr>
        <w:pStyle w:val="Corpsdetexte"/>
        <w:jc w:val="both"/>
      </w:pPr>
    </w:p>
    <w:p w14:paraId="372C3918" w14:textId="2F578FBA" w:rsidR="005C717F" w:rsidRPr="008D3C95" w:rsidRDefault="00242357" w:rsidP="0055753F">
      <w:pPr>
        <w:pStyle w:val="Corpsdetexte"/>
        <w:ind w:left="500"/>
        <w:rPr>
          <w:b/>
          <w:bCs/>
          <w:sz w:val="22"/>
          <w:szCs w:val="22"/>
        </w:rPr>
      </w:pPr>
      <w:r w:rsidRPr="008D3C95">
        <w:rPr>
          <w:b/>
          <w:bCs/>
          <w:sz w:val="22"/>
          <w:szCs w:val="22"/>
        </w:rPr>
        <w:t>PRODUITS</w:t>
      </w:r>
      <w:r w:rsidRPr="008D3C95">
        <w:rPr>
          <w:b/>
          <w:bCs/>
          <w:spacing w:val="-3"/>
          <w:sz w:val="22"/>
          <w:szCs w:val="22"/>
        </w:rPr>
        <w:t xml:space="preserve"> </w:t>
      </w:r>
      <w:r w:rsidRPr="008D3C95">
        <w:rPr>
          <w:b/>
          <w:bCs/>
          <w:sz w:val="22"/>
          <w:szCs w:val="22"/>
        </w:rPr>
        <w:t>DE</w:t>
      </w:r>
      <w:r w:rsidRPr="008D3C95">
        <w:rPr>
          <w:b/>
          <w:bCs/>
          <w:spacing w:val="1"/>
          <w:sz w:val="22"/>
          <w:szCs w:val="22"/>
        </w:rPr>
        <w:t xml:space="preserve"> </w:t>
      </w:r>
      <w:r w:rsidRPr="008D3C95">
        <w:rPr>
          <w:b/>
          <w:bCs/>
          <w:sz w:val="22"/>
          <w:szCs w:val="22"/>
        </w:rPr>
        <w:t>FONCTIONNEMENT</w:t>
      </w: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60"/>
        <w:gridCol w:w="1040"/>
        <w:gridCol w:w="1425"/>
      </w:tblGrid>
      <w:tr w:rsidR="0091580E" w:rsidRPr="009645E8" w14:paraId="147FA832" w14:textId="77777777" w:rsidTr="00882815">
        <w:trPr>
          <w:trHeight w:val="26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044D" w14:textId="77777777" w:rsidR="0091580E" w:rsidRPr="00954A13" w:rsidRDefault="0091580E" w:rsidP="0083194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fr-FR"/>
              </w:rPr>
            </w:pPr>
            <w:r w:rsidRPr="00954A13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fr-FR"/>
              </w:rPr>
              <w:t>En euros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B98" w14:textId="3FAC5908" w:rsidR="0091580E" w:rsidRPr="00155AFD" w:rsidRDefault="0091580E" w:rsidP="0083194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155A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202</w:t>
            </w:r>
            <w:r w:rsidR="00F92C33" w:rsidRPr="00155A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618" w14:textId="0A7F21F0" w:rsidR="0091580E" w:rsidRPr="00954A13" w:rsidRDefault="0091580E" w:rsidP="008319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54A1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% 2</w:t>
            </w:r>
            <w:r w:rsidR="00F92C3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  <w:r w:rsidRPr="00954A1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/ 2</w:t>
            </w:r>
            <w:r w:rsidR="00F92C3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252" w14:textId="6DA571C5" w:rsidR="0091580E" w:rsidRPr="00954A13" w:rsidRDefault="0091580E" w:rsidP="0083194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54A1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202</w:t>
            </w:r>
            <w:r w:rsidR="00F92C3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</w:tc>
      </w:tr>
      <w:tr w:rsidR="00F92C33" w:rsidRPr="002B0427" w14:paraId="28F47B27" w14:textId="77777777" w:rsidTr="008714D2">
        <w:trPr>
          <w:trHeight w:val="25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5E4C" w14:textId="77777777" w:rsidR="00F92C33" w:rsidRPr="002B0427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Denier de l'Eglise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06BB2" w14:textId="7E515798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106 952,76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03639" w14:textId="6AA79C03" w:rsidR="00F92C33" w:rsidRPr="00EB6395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7,5%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D0924" w14:textId="4DFD6FFA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99 462,76   </w:t>
            </w:r>
          </w:p>
        </w:tc>
      </w:tr>
      <w:tr w:rsidR="00F92C33" w:rsidRPr="002B0427" w14:paraId="16981583" w14:textId="77777777" w:rsidTr="008714D2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F2D" w14:textId="77777777" w:rsidR="00F92C33" w:rsidRPr="002B0427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Quêtes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B3A2E" w14:textId="1E67231C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30 781,90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3BF77" w14:textId="1490ED0A" w:rsidR="00F92C33" w:rsidRPr="00EB6395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8,3%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52061" w14:textId="0215E548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28 411,46   </w:t>
            </w:r>
          </w:p>
        </w:tc>
      </w:tr>
      <w:tr w:rsidR="00F92C33" w:rsidRPr="002B0427" w14:paraId="283B893F" w14:textId="77777777" w:rsidTr="008714D2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081F" w14:textId="77777777" w:rsidR="00F92C33" w:rsidRPr="002B0427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Casuel &amp; messes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0A7CAD" w14:textId="149D6FA3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10 294,76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FCDF" w14:textId="36747927" w:rsidR="00F92C33" w:rsidRPr="00EB6395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7,0%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AD2F2" w14:textId="3DF1BF0E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9 621,76   </w:t>
            </w:r>
          </w:p>
        </w:tc>
      </w:tr>
      <w:tr w:rsidR="00F92C33" w:rsidRPr="002B0427" w14:paraId="2D49A8DD" w14:textId="77777777" w:rsidTr="008714D2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EFB" w14:textId="77777777" w:rsidR="00F92C33" w:rsidRPr="002B0427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Offrandes &amp; dons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4658A" w14:textId="41E11EDC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16 441,61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1501" w14:textId="1864F260" w:rsidR="00F92C33" w:rsidRPr="00EB6395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-4,4%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0AB835" w14:textId="35AB4829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17 206,39   </w:t>
            </w:r>
          </w:p>
        </w:tc>
      </w:tr>
      <w:tr w:rsidR="00F92C33" w:rsidRPr="002B0427" w14:paraId="73EC85CC" w14:textId="77777777" w:rsidTr="008714D2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76E" w14:textId="28341B52" w:rsidR="00F92C33" w:rsidRPr="002B0427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Autres ressources fidèles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42C4D" w14:textId="117556D6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521,00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44AD5" w14:textId="1F468C3E" w:rsidR="00F92C33" w:rsidRPr="00EB6395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-39,9%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77A472" w14:textId="4F77ECE9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867,00   </w:t>
            </w:r>
          </w:p>
        </w:tc>
      </w:tr>
      <w:tr w:rsidR="00F92C33" w:rsidRPr="002B0427" w14:paraId="34781700" w14:textId="77777777" w:rsidTr="008714D2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E1E3" w14:textId="18DD28E4" w:rsidR="00F92C33" w:rsidRPr="002B0427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Ressources diverses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7A831" w14:textId="15746108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66 572,35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3AC4" w14:textId="23CA66F2" w:rsidR="00F92C33" w:rsidRPr="00EB6395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5,0%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7384F" w14:textId="653177AF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63 378,61   </w:t>
            </w:r>
          </w:p>
        </w:tc>
      </w:tr>
      <w:tr w:rsidR="00F92C33" w:rsidRPr="002B0427" w14:paraId="6032797C" w14:textId="77777777" w:rsidTr="008714D2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2ED7" w14:textId="77777777" w:rsidR="00F92C33" w:rsidRPr="002B0427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Revenus Immobiliers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CF81F" w14:textId="08BAB433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209 664,16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AD95" w14:textId="7269D623" w:rsidR="00F92C33" w:rsidRPr="00EB6395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-12,6%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AEB53" w14:textId="4849930C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239 757,16   </w:t>
            </w:r>
          </w:p>
        </w:tc>
      </w:tr>
      <w:tr w:rsidR="00F92C33" w:rsidRPr="002B0427" w14:paraId="2DBF3D79" w14:textId="77777777" w:rsidTr="008714D2">
        <w:trPr>
          <w:trHeight w:val="31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BF1" w14:textId="77777777" w:rsidR="00F92C33" w:rsidRPr="002B0427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Total recettes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83A0" w14:textId="5EEE3153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Hlk166842748"/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441 229   </w:t>
            </w:r>
            <w:bookmarkEnd w:id="0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5802" w14:textId="2769B470" w:rsidR="00F92C33" w:rsidRPr="00EB6395" w:rsidRDefault="00F92C33" w:rsidP="00F92C3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-3,8%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1820" w14:textId="1F8BE07B" w:rsidR="00F92C33" w:rsidRPr="00EB6395" w:rsidRDefault="00F92C33" w:rsidP="00F92C3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458 705   </w:t>
            </w:r>
          </w:p>
        </w:tc>
      </w:tr>
    </w:tbl>
    <w:p w14:paraId="314C8728" w14:textId="77777777" w:rsidR="0047266E" w:rsidRPr="008D3C95" w:rsidRDefault="00242357">
      <w:pPr>
        <w:pStyle w:val="Corpsdetexte"/>
        <w:spacing w:before="143"/>
        <w:ind w:left="500"/>
        <w:rPr>
          <w:b/>
          <w:bCs/>
          <w:sz w:val="22"/>
          <w:szCs w:val="22"/>
        </w:rPr>
      </w:pPr>
      <w:r w:rsidRPr="008D3C95">
        <w:rPr>
          <w:b/>
          <w:bCs/>
          <w:sz w:val="22"/>
          <w:szCs w:val="22"/>
        </w:rPr>
        <w:t>CHARGES</w:t>
      </w:r>
      <w:r w:rsidRPr="008D3C95">
        <w:rPr>
          <w:b/>
          <w:bCs/>
          <w:spacing w:val="-2"/>
          <w:sz w:val="22"/>
          <w:szCs w:val="22"/>
        </w:rPr>
        <w:t xml:space="preserve"> </w:t>
      </w:r>
      <w:r w:rsidRPr="008D3C95">
        <w:rPr>
          <w:b/>
          <w:bCs/>
          <w:sz w:val="22"/>
          <w:szCs w:val="22"/>
        </w:rPr>
        <w:t>DE</w:t>
      </w:r>
      <w:r w:rsidRPr="008D3C95">
        <w:rPr>
          <w:b/>
          <w:bCs/>
          <w:spacing w:val="-1"/>
          <w:sz w:val="22"/>
          <w:szCs w:val="22"/>
        </w:rPr>
        <w:t xml:space="preserve"> </w:t>
      </w:r>
      <w:r w:rsidRPr="008D3C95">
        <w:rPr>
          <w:b/>
          <w:bCs/>
          <w:sz w:val="22"/>
          <w:szCs w:val="22"/>
        </w:rPr>
        <w:t>FONCTIONNEMENT</w:t>
      </w:r>
    </w:p>
    <w:tbl>
      <w:tblPr>
        <w:tblW w:w="7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596"/>
        <w:gridCol w:w="947"/>
        <w:gridCol w:w="1668"/>
      </w:tblGrid>
      <w:tr w:rsidR="005C717F" w:rsidRPr="002B0427" w14:paraId="4CF8C81F" w14:textId="77777777" w:rsidTr="00882815">
        <w:trPr>
          <w:trHeight w:val="26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5452" w14:textId="77777777" w:rsidR="005C717F" w:rsidRPr="002B0427" w:rsidRDefault="005C717F" w:rsidP="005C717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fr-FR"/>
              </w:rPr>
            </w:pPr>
            <w:bookmarkStart w:id="1" w:name="_Hlk152239646"/>
            <w:r w:rsidRPr="002B0427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fr-FR"/>
              </w:rPr>
              <w:t>En euros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8F5B" w14:textId="7BF3BB29" w:rsidR="005C717F" w:rsidRPr="00155AFD" w:rsidRDefault="005C717F" w:rsidP="005C717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155A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202</w:t>
            </w:r>
            <w:r w:rsidR="00850582" w:rsidRPr="00155AF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70F" w14:textId="439DB402" w:rsidR="005C717F" w:rsidRPr="002B0427" w:rsidRDefault="005C717F" w:rsidP="005C717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% 2</w:t>
            </w:r>
            <w:r w:rsidR="00850582" w:rsidRPr="002B042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  <w:r w:rsidRPr="002B042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/ 2</w:t>
            </w:r>
            <w:r w:rsidR="00850582" w:rsidRPr="002B042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2B5" w14:textId="31AE6095" w:rsidR="005C717F" w:rsidRPr="002B0427" w:rsidRDefault="005C717F" w:rsidP="005C717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202</w:t>
            </w:r>
            <w:r w:rsidR="00850582" w:rsidRPr="002B042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</w:tc>
      </w:tr>
      <w:bookmarkEnd w:id="1"/>
      <w:tr w:rsidR="00850582" w:rsidRPr="002B0427" w14:paraId="55E30A40" w14:textId="77777777" w:rsidTr="00B90E3F">
        <w:trPr>
          <w:trHeight w:val="26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FC46" w14:textId="77777777" w:rsidR="00850582" w:rsidRPr="002B0427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Frais clergé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B2EB82" w14:textId="07CE77F6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35 553,60  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D184" w14:textId="3087A381" w:rsidR="00850582" w:rsidRPr="00EB6395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-3,2%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F6F05" w14:textId="139A2912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36 714,00   </w:t>
            </w:r>
          </w:p>
        </w:tc>
      </w:tr>
      <w:tr w:rsidR="00850582" w:rsidRPr="002B0427" w14:paraId="41A820E1" w14:textId="77777777" w:rsidTr="00B90E3F">
        <w:trPr>
          <w:trHeight w:val="260"/>
        </w:trPr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27A0" w14:textId="77777777" w:rsidR="00850582" w:rsidRPr="002B0427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Frais laïcs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5C797" w14:textId="063AD18F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125 546,31  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6DAFA" w14:textId="44775934" w:rsidR="00850582" w:rsidRPr="00EB6395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0,7%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B819C" w14:textId="4883FFEE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124 703,21   </w:t>
            </w:r>
          </w:p>
        </w:tc>
      </w:tr>
      <w:tr w:rsidR="00850582" w:rsidRPr="002B0427" w14:paraId="2F397876" w14:textId="77777777" w:rsidTr="00B90E3F">
        <w:trPr>
          <w:trHeight w:val="260"/>
        </w:trPr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E18" w14:textId="77777777" w:rsidR="00850582" w:rsidRPr="002B0427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Frais immeubles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96E0F" w14:textId="55DCE81F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54 672,77  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03282" w14:textId="26A917F5" w:rsidR="00850582" w:rsidRPr="00EB6395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10,4%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E5ED9" w14:textId="311E9136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49 525,92   </w:t>
            </w:r>
          </w:p>
        </w:tc>
      </w:tr>
      <w:tr w:rsidR="00850582" w:rsidRPr="002B0427" w14:paraId="12D5957E" w14:textId="77777777" w:rsidTr="00B90E3F">
        <w:trPr>
          <w:trHeight w:val="260"/>
        </w:trPr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013C" w14:textId="50558DC2" w:rsidR="00850582" w:rsidRPr="002B0427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Fournitures culte &amp; fidèles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6F47BF" w14:textId="5CDD9393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6 297,58  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021EA" w14:textId="513CBD78" w:rsidR="00850582" w:rsidRPr="00EB6395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7,9%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1B1FA" w14:textId="2E785F5B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5 837,11   </w:t>
            </w:r>
          </w:p>
        </w:tc>
      </w:tr>
      <w:tr w:rsidR="00850582" w:rsidRPr="002B0427" w14:paraId="0575FD1A" w14:textId="77777777" w:rsidTr="00B90E3F">
        <w:trPr>
          <w:trHeight w:val="260"/>
        </w:trPr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AE29" w14:textId="77777777" w:rsidR="00850582" w:rsidRPr="002B0427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Autres Frais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2A14E4" w14:textId="1D0CF58A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96 006,16  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38EF" w14:textId="19DF5C7F" w:rsidR="00850582" w:rsidRPr="00EB6395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55,7%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4F4F4" w14:textId="081CF3AD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61 647,30   </w:t>
            </w:r>
          </w:p>
        </w:tc>
      </w:tr>
      <w:tr w:rsidR="00850582" w:rsidRPr="002B0427" w14:paraId="14370E96" w14:textId="77777777" w:rsidTr="00B90E3F">
        <w:trPr>
          <w:trHeight w:val="260"/>
        </w:trPr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745D" w14:textId="77777777" w:rsidR="00850582" w:rsidRPr="002B0427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Solidarité diocésaine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BC3D1" w14:textId="3D1A82CF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90 724,00  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ECF5" w14:textId="085255C1" w:rsidR="00850582" w:rsidRPr="00EB6395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54,1%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67083" w14:textId="64A0A2BF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58 872,00   </w:t>
            </w:r>
          </w:p>
        </w:tc>
      </w:tr>
      <w:tr w:rsidR="00850582" w:rsidRPr="002B0427" w14:paraId="294D52DD" w14:textId="77777777" w:rsidTr="00B90E3F">
        <w:trPr>
          <w:trHeight w:val="260"/>
        </w:trPr>
        <w:tc>
          <w:tcPr>
            <w:tcW w:w="2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3E6D" w14:textId="77777777" w:rsidR="00850582" w:rsidRPr="002B0427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Autres charges pastorales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629C56" w14:textId="1DE8EF4A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2 466,21  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466AF" w14:textId="428FD2E3" w:rsidR="00850582" w:rsidRPr="00EB6395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-45,1%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B42070" w14:textId="0C4A39AB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4 488,42   </w:t>
            </w:r>
          </w:p>
        </w:tc>
      </w:tr>
      <w:tr w:rsidR="00850582" w:rsidRPr="002B0427" w14:paraId="7C9A6967" w14:textId="77777777" w:rsidTr="00B90E3F">
        <w:trPr>
          <w:trHeight w:val="31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A86" w14:textId="77777777" w:rsidR="00850582" w:rsidRPr="002B0427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2B0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Total dépenses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A008" w14:textId="23B7907F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411 267  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4C70" w14:textId="2C561247" w:rsidR="00850582" w:rsidRPr="00EB6395" w:rsidRDefault="00850582" w:rsidP="0085058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20,3%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5681" w14:textId="3517462F" w:rsidR="00850582" w:rsidRPr="00EB6395" w:rsidRDefault="00850582" w:rsidP="0085058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 xml:space="preserve"> 341 788   </w:t>
            </w:r>
          </w:p>
        </w:tc>
      </w:tr>
    </w:tbl>
    <w:p w14:paraId="4BBD9B75" w14:textId="77777777" w:rsidR="00394687" w:rsidRPr="002B0427" w:rsidRDefault="00394687" w:rsidP="004D2916">
      <w:pPr>
        <w:pStyle w:val="Corpsdetexte"/>
        <w:rPr>
          <w:rFonts w:asciiTheme="minorHAnsi" w:hAnsiTheme="minorHAnsi" w:cstheme="minorHAnsi"/>
        </w:rPr>
      </w:pPr>
    </w:p>
    <w:p w14:paraId="4E5D4EC1" w14:textId="5390AC53" w:rsidR="0047266E" w:rsidRPr="008D77A5" w:rsidRDefault="00242357" w:rsidP="004D2916">
      <w:pPr>
        <w:pStyle w:val="Corpsdetexte"/>
        <w:ind w:firstLine="720"/>
        <w:rPr>
          <w:rFonts w:asciiTheme="minorHAnsi" w:hAnsiTheme="minorHAnsi" w:cstheme="minorHAnsi"/>
          <w:b/>
          <w:bCs/>
        </w:rPr>
      </w:pPr>
      <w:r w:rsidRPr="008D77A5">
        <w:rPr>
          <w:rFonts w:asciiTheme="minorHAnsi" w:hAnsiTheme="minorHAnsi" w:cstheme="minorHAnsi"/>
          <w:b/>
          <w:bCs/>
        </w:rPr>
        <w:t>RESULTAT</w:t>
      </w:r>
    </w:p>
    <w:tbl>
      <w:tblPr>
        <w:tblStyle w:val="TableNormal"/>
        <w:tblW w:w="72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157"/>
        <w:gridCol w:w="1012"/>
        <w:gridCol w:w="1211"/>
      </w:tblGrid>
      <w:tr w:rsidR="0047266E" w:rsidRPr="002B0427" w14:paraId="7D4CEFDE" w14:textId="77777777" w:rsidTr="00882815">
        <w:trPr>
          <w:trHeight w:val="346"/>
        </w:trPr>
        <w:tc>
          <w:tcPr>
            <w:tcW w:w="3900" w:type="dxa"/>
          </w:tcPr>
          <w:p w14:paraId="6CA31F9F" w14:textId="77777777" w:rsidR="0047266E" w:rsidRPr="002B0427" w:rsidRDefault="00242357">
            <w:pPr>
              <w:pStyle w:val="TableParagraph"/>
              <w:spacing w:before="34" w:line="240" w:lineRule="auto"/>
              <w:ind w:left="1316" w:right="1301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B0427">
              <w:rPr>
                <w:rFonts w:asciiTheme="minorHAnsi" w:hAnsiTheme="minorHAnsi" w:cstheme="minorHAnsi"/>
                <w:i/>
                <w:sz w:val="20"/>
                <w:szCs w:val="20"/>
              </w:rPr>
              <w:t>En Euros</w:t>
            </w:r>
          </w:p>
        </w:tc>
        <w:tc>
          <w:tcPr>
            <w:tcW w:w="1157" w:type="dxa"/>
          </w:tcPr>
          <w:p w14:paraId="49010AFA" w14:textId="2E3E9BDE" w:rsidR="0047266E" w:rsidRPr="00155AFD" w:rsidRDefault="00242357">
            <w:pPr>
              <w:pStyle w:val="TableParagraph"/>
              <w:spacing w:before="34" w:line="240" w:lineRule="auto"/>
              <w:ind w:left="36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5A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="001D1E8C" w:rsidRPr="00155A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50582" w:rsidRPr="00155A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2" w:type="dxa"/>
          </w:tcPr>
          <w:p w14:paraId="480EE82B" w14:textId="61F231F8" w:rsidR="0047266E" w:rsidRPr="002B0427" w:rsidRDefault="00242357">
            <w:pPr>
              <w:pStyle w:val="TableParagraph"/>
              <w:spacing w:before="20" w:line="240" w:lineRule="auto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2B0427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="0015405C" w:rsidRPr="002B04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0582" w:rsidRPr="002B042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B042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15405C" w:rsidRPr="002B04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0582" w:rsidRPr="002B04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14:paraId="7EEDA12B" w14:textId="2F15699A" w:rsidR="0047266E" w:rsidRPr="002B0427" w:rsidRDefault="00242357">
            <w:pPr>
              <w:pStyle w:val="TableParagraph"/>
              <w:spacing w:before="34" w:line="240" w:lineRule="auto"/>
              <w:ind w:left="39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B042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1D1E8C" w:rsidRPr="002B04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50582" w:rsidRPr="002B042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7266E" w:rsidRPr="002B0427" w14:paraId="42E6D29B" w14:textId="77777777" w:rsidTr="00882815">
        <w:trPr>
          <w:trHeight w:val="344"/>
        </w:trPr>
        <w:tc>
          <w:tcPr>
            <w:tcW w:w="3900" w:type="dxa"/>
          </w:tcPr>
          <w:p w14:paraId="0B9B2498" w14:textId="77777777" w:rsidR="0047266E" w:rsidRPr="008D77A5" w:rsidRDefault="00242357">
            <w:pPr>
              <w:pStyle w:val="TableParagraph"/>
              <w:spacing w:before="34" w:line="240" w:lineRule="auto"/>
              <w:ind w:left="69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7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Résultat</w:t>
            </w:r>
            <w:r w:rsidRPr="008D77A5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D7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Pr="008D77A5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7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fonctionnement</w:t>
            </w:r>
          </w:p>
        </w:tc>
        <w:tc>
          <w:tcPr>
            <w:tcW w:w="1157" w:type="dxa"/>
          </w:tcPr>
          <w:p w14:paraId="74537595" w14:textId="77777777" w:rsidR="00850582" w:rsidRPr="00EB6395" w:rsidRDefault="00850582" w:rsidP="00850582">
            <w:pPr>
              <w:pStyle w:val="TableParagraph"/>
              <w:spacing w:before="20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29 961,91</w:t>
            </w:r>
          </w:p>
          <w:p w14:paraId="59D781F5" w14:textId="075D353C" w:rsidR="0047266E" w:rsidRPr="00EB6395" w:rsidRDefault="0047266E">
            <w:pPr>
              <w:pStyle w:val="TableParagraph"/>
              <w:spacing w:before="20" w:line="240" w:lineRule="auto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BA16A52" w14:textId="6128B7CB" w:rsidR="0047266E" w:rsidRPr="00EB6395" w:rsidRDefault="00EB6395">
            <w:pPr>
              <w:pStyle w:val="TableParagraph"/>
              <w:spacing w:before="20" w:line="240" w:lineRule="auto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-74,37</w:t>
            </w:r>
            <w:r w:rsidR="00FD350F" w:rsidRPr="00EB6395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211" w:type="dxa"/>
          </w:tcPr>
          <w:p w14:paraId="3A78AF38" w14:textId="78F9B01F" w:rsidR="0047266E" w:rsidRPr="00EB6395" w:rsidRDefault="00850582">
            <w:pPr>
              <w:pStyle w:val="TableParagraph"/>
              <w:spacing w:before="20" w:line="240" w:lineRule="auto"/>
              <w:ind w:right="43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116 917</w:t>
            </w:r>
          </w:p>
        </w:tc>
      </w:tr>
      <w:tr w:rsidR="0047266E" w:rsidRPr="002B0427" w14:paraId="4B35F89C" w14:textId="77777777" w:rsidTr="002B0427">
        <w:trPr>
          <w:trHeight w:val="475"/>
        </w:trPr>
        <w:tc>
          <w:tcPr>
            <w:tcW w:w="3900" w:type="dxa"/>
          </w:tcPr>
          <w:p w14:paraId="2C2A674A" w14:textId="77777777" w:rsidR="0047266E" w:rsidRPr="008D77A5" w:rsidRDefault="00242357">
            <w:pPr>
              <w:pStyle w:val="TableParagraph"/>
              <w:spacing w:before="34" w:line="240" w:lineRule="auto"/>
              <w:ind w:left="69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7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Résultat</w:t>
            </w:r>
            <w:r w:rsidRPr="008D77A5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D7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financier</w:t>
            </w:r>
          </w:p>
        </w:tc>
        <w:tc>
          <w:tcPr>
            <w:tcW w:w="1157" w:type="dxa"/>
          </w:tcPr>
          <w:p w14:paraId="39B82AFC" w14:textId="77777777" w:rsidR="00850582" w:rsidRPr="00EB6395" w:rsidRDefault="00850582" w:rsidP="00850582">
            <w:pPr>
              <w:pStyle w:val="TableParagraph"/>
              <w:spacing w:before="70"/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41 742,99</w:t>
            </w:r>
          </w:p>
          <w:p w14:paraId="71C959B2" w14:textId="2FA4B2AE" w:rsidR="0047266E" w:rsidRPr="00EB6395" w:rsidRDefault="0047266E">
            <w:pPr>
              <w:pStyle w:val="TableParagraph"/>
              <w:spacing w:before="70"/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482FD5F" w14:textId="251B9295" w:rsidR="0047266E" w:rsidRPr="00EB6395" w:rsidRDefault="00EB6395">
            <w:pPr>
              <w:pStyle w:val="TableParagraph"/>
              <w:spacing w:before="20" w:line="240" w:lineRule="auto"/>
              <w:ind w:right="41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76098F" w:rsidRPr="00EB6395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211" w:type="dxa"/>
          </w:tcPr>
          <w:p w14:paraId="403EFB28" w14:textId="126B9A37" w:rsidR="0047266E" w:rsidRPr="00EB6395" w:rsidRDefault="00850582">
            <w:pPr>
              <w:pStyle w:val="TableParagraph"/>
              <w:spacing w:before="34" w:line="240" w:lineRule="auto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34 496</w:t>
            </w:r>
          </w:p>
        </w:tc>
      </w:tr>
      <w:tr w:rsidR="0047266E" w:rsidRPr="002B0427" w14:paraId="16AB0F64" w14:textId="77777777" w:rsidTr="00882815">
        <w:trPr>
          <w:trHeight w:val="344"/>
        </w:trPr>
        <w:tc>
          <w:tcPr>
            <w:tcW w:w="3900" w:type="dxa"/>
          </w:tcPr>
          <w:p w14:paraId="708F52A8" w14:textId="77777777" w:rsidR="0047266E" w:rsidRPr="008D77A5" w:rsidRDefault="00242357">
            <w:pPr>
              <w:pStyle w:val="TableParagraph"/>
              <w:spacing w:before="34" w:line="240" w:lineRule="auto"/>
              <w:ind w:left="69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7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Dotations</w:t>
            </w:r>
            <w:r w:rsidRPr="008D77A5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D7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aux</w:t>
            </w:r>
            <w:r w:rsidRPr="008D77A5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7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amortissements</w:t>
            </w:r>
          </w:p>
        </w:tc>
        <w:tc>
          <w:tcPr>
            <w:tcW w:w="1157" w:type="dxa"/>
          </w:tcPr>
          <w:p w14:paraId="4562FD01" w14:textId="4C4D51C6" w:rsidR="0047266E" w:rsidRPr="00EB6395" w:rsidRDefault="00850582">
            <w:pPr>
              <w:pStyle w:val="TableParagraph"/>
              <w:spacing w:before="70" w:line="223" w:lineRule="exact"/>
              <w:ind w:righ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-23 498, 49</w:t>
            </w:r>
          </w:p>
        </w:tc>
        <w:tc>
          <w:tcPr>
            <w:tcW w:w="1012" w:type="dxa"/>
          </w:tcPr>
          <w:p w14:paraId="0190E084" w14:textId="39659AF0" w:rsidR="0047266E" w:rsidRPr="00EB6395" w:rsidRDefault="00EB6395">
            <w:pPr>
              <w:pStyle w:val="TableParagraph"/>
              <w:spacing w:before="20" w:line="240" w:lineRule="auto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39,40</w:t>
            </w:r>
            <w:r w:rsidR="00242357" w:rsidRPr="00EB6395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211" w:type="dxa"/>
          </w:tcPr>
          <w:p w14:paraId="2E01D091" w14:textId="60761E05" w:rsidR="0047266E" w:rsidRPr="00EB6395" w:rsidRDefault="00850582">
            <w:pPr>
              <w:pStyle w:val="TableParagraph"/>
              <w:spacing w:before="34" w:line="240" w:lineRule="auto"/>
              <w:ind w:righ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EB6395">
              <w:rPr>
                <w:rFonts w:asciiTheme="minorHAnsi" w:hAnsiTheme="minorHAnsi" w:cstheme="minorHAnsi"/>
                <w:sz w:val="20"/>
                <w:szCs w:val="20"/>
              </w:rPr>
              <w:t>-16 856</w:t>
            </w:r>
          </w:p>
        </w:tc>
      </w:tr>
      <w:tr w:rsidR="0047266E" w:rsidRPr="002B0427" w14:paraId="4E4457AD" w14:textId="77777777" w:rsidTr="00882815">
        <w:trPr>
          <w:trHeight w:val="346"/>
        </w:trPr>
        <w:tc>
          <w:tcPr>
            <w:tcW w:w="3900" w:type="dxa"/>
            <w:shd w:val="clear" w:color="auto" w:fill="A5A5A5"/>
          </w:tcPr>
          <w:p w14:paraId="3B7A1D99" w14:textId="77777777" w:rsidR="0047266E" w:rsidRPr="008D77A5" w:rsidRDefault="00242357">
            <w:pPr>
              <w:pStyle w:val="TableParagraph"/>
              <w:spacing w:before="34" w:line="240" w:lineRule="auto"/>
              <w:ind w:left="69"/>
              <w:jc w:val="left"/>
              <w:rPr>
                <w:b/>
                <w:bCs/>
                <w:sz w:val="20"/>
                <w:szCs w:val="20"/>
              </w:rPr>
            </w:pPr>
            <w:r w:rsidRPr="008D77A5">
              <w:rPr>
                <w:b/>
                <w:bCs/>
                <w:sz w:val="20"/>
                <w:szCs w:val="20"/>
              </w:rPr>
              <w:t>Résultat</w:t>
            </w:r>
            <w:r w:rsidRPr="008D77A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77A5">
              <w:rPr>
                <w:b/>
                <w:bCs/>
                <w:sz w:val="20"/>
                <w:szCs w:val="20"/>
              </w:rPr>
              <w:t>avant</w:t>
            </w:r>
            <w:r w:rsidRPr="008D77A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D77A5">
              <w:rPr>
                <w:b/>
                <w:bCs/>
                <w:sz w:val="20"/>
                <w:szCs w:val="20"/>
              </w:rPr>
              <w:t>exceptionnel</w:t>
            </w:r>
          </w:p>
        </w:tc>
        <w:tc>
          <w:tcPr>
            <w:tcW w:w="1157" w:type="dxa"/>
            <w:shd w:val="clear" w:color="auto" w:fill="A5A5A5"/>
          </w:tcPr>
          <w:p w14:paraId="56CE437F" w14:textId="4CCFC49B" w:rsidR="0047266E" w:rsidRPr="00EB6395" w:rsidRDefault="005F0324">
            <w:pPr>
              <w:pStyle w:val="TableParagraph"/>
              <w:spacing w:before="34" w:line="240" w:lineRule="auto"/>
              <w:ind w:right="48"/>
              <w:rPr>
                <w:sz w:val="18"/>
                <w:szCs w:val="18"/>
              </w:rPr>
            </w:pPr>
            <w:bookmarkStart w:id="2" w:name="_Hlk166842696"/>
            <w:r w:rsidRPr="00EB6395">
              <w:rPr>
                <w:sz w:val="20"/>
                <w:szCs w:val="20"/>
              </w:rPr>
              <w:t>48</w:t>
            </w:r>
            <w:r w:rsidRPr="00EB6395">
              <w:rPr>
                <w:sz w:val="18"/>
                <w:szCs w:val="18"/>
              </w:rPr>
              <w:t xml:space="preserve"> 206,41</w:t>
            </w:r>
            <w:bookmarkEnd w:id="2"/>
          </w:p>
        </w:tc>
        <w:tc>
          <w:tcPr>
            <w:tcW w:w="1012" w:type="dxa"/>
            <w:shd w:val="clear" w:color="auto" w:fill="A5A5A5"/>
          </w:tcPr>
          <w:p w14:paraId="42003741" w14:textId="0F2353C5" w:rsidR="0047266E" w:rsidRPr="00EB6395" w:rsidRDefault="000A74D1">
            <w:pPr>
              <w:pStyle w:val="TableParagraph"/>
              <w:spacing w:before="20" w:line="240" w:lineRule="auto"/>
              <w:ind w:right="41"/>
              <w:rPr>
                <w:sz w:val="18"/>
                <w:szCs w:val="18"/>
              </w:rPr>
            </w:pPr>
            <w:r w:rsidRPr="00EB6395">
              <w:rPr>
                <w:sz w:val="18"/>
                <w:szCs w:val="18"/>
              </w:rPr>
              <w:t>-64</w:t>
            </w:r>
            <w:r w:rsidR="00EB6395" w:rsidRPr="00EB6395">
              <w:rPr>
                <w:sz w:val="18"/>
                <w:szCs w:val="18"/>
              </w:rPr>
              <w:t>,17</w:t>
            </w:r>
            <w:r w:rsidR="0076098F" w:rsidRPr="00EB6395">
              <w:rPr>
                <w:sz w:val="18"/>
                <w:szCs w:val="18"/>
              </w:rPr>
              <w:t>%</w:t>
            </w:r>
          </w:p>
        </w:tc>
        <w:tc>
          <w:tcPr>
            <w:tcW w:w="1211" w:type="dxa"/>
            <w:shd w:val="clear" w:color="auto" w:fill="A5A5A5"/>
          </w:tcPr>
          <w:p w14:paraId="1D548378" w14:textId="1CD969F5" w:rsidR="0047266E" w:rsidRPr="00EB6395" w:rsidRDefault="00850582">
            <w:pPr>
              <w:pStyle w:val="TableParagraph"/>
              <w:spacing w:before="34" w:line="240" w:lineRule="auto"/>
              <w:ind w:right="46"/>
              <w:rPr>
                <w:sz w:val="18"/>
                <w:szCs w:val="18"/>
              </w:rPr>
            </w:pPr>
            <w:r w:rsidRPr="00EB6395">
              <w:rPr>
                <w:sz w:val="18"/>
                <w:szCs w:val="18"/>
              </w:rPr>
              <w:t>134 557</w:t>
            </w:r>
          </w:p>
        </w:tc>
      </w:tr>
    </w:tbl>
    <w:p w14:paraId="2EE473D2" w14:textId="77777777" w:rsidR="0047266E" w:rsidRPr="009645E8" w:rsidRDefault="0047266E">
      <w:pPr>
        <w:rPr>
          <w:sz w:val="20"/>
        </w:rPr>
        <w:sectPr w:rsidR="0047266E" w:rsidRPr="009645E8">
          <w:type w:val="continuous"/>
          <w:pgSz w:w="16840" w:h="11910" w:orient="landscape"/>
          <w:pgMar w:top="160" w:right="600" w:bottom="280" w:left="620" w:header="720" w:footer="720" w:gutter="0"/>
          <w:cols w:num="2" w:space="720" w:equalWidth="0">
            <w:col w:w="6743" w:space="1316"/>
            <w:col w:w="7561"/>
          </w:cols>
        </w:sectPr>
      </w:pPr>
    </w:p>
    <w:p w14:paraId="5B03B110" w14:textId="5412D6B8" w:rsidR="00C27443" w:rsidRDefault="008D3C95" w:rsidP="00C27443">
      <w:pPr>
        <w:pStyle w:val="Titre1"/>
        <w:tabs>
          <w:tab w:val="left" w:pos="8159"/>
        </w:tabs>
      </w:pPr>
      <w:r w:rsidRPr="008D3C95">
        <w:rPr>
          <w:noProof/>
        </w:rPr>
        <w:lastRenderedPageBreak/>
        <w:drawing>
          <wp:inline distT="0" distB="0" distL="0" distR="0" wp14:anchorId="28411B49" wp14:editId="01E07C38">
            <wp:extent cx="9410700" cy="1980565"/>
            <wp:effectExtent l="0" t="0" r="0" b="635"/>
            <wp:docPr id="53887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753" cy="20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C894" w14:textId="77777777" w:rsidR="000820FA" w:rsidRDefault="000820FA" w:rsidP="000820FA">
      <w:pPr>
        <w:pStyle w:val="Titre1"/>
        <w:tabs>
          <w:tab w:val="left" w:pos="8159"/>
        </w:tabs>
        <w:ind w:left="0"/>
        <w:rPr>
          <w:sz w:val="22"/>
          <w:szCs w:val="22"/>
          <w:u w:val="none"/>
        </w:rPr>
      </w:pPr>
    </w:p>
    <w:p w14:paraId="0F28751C" w14:textId="4506137E" w:rsidR="0047266E" w:rsidRPr="000820FA" w:rsidRDefault="00242357" w:rsidP="000820FA">
      <w:pPr>
        <w:pStyle w:val="Titre1"/>
        <w:tabs>
          <w:tab w:val="left" w:pos="8940"/>
        </w:tabs>
        <w:ind w:left="0"/>
        <w:rPr>
          <w:sz w:val="22"/>
          <w:szCs w:val="22"/>
          <w:u w:val="none"/>
        </w:rPr>
        <w:sectPr w:rsidR="0047266E" w:rsidRPr="000820FA">
          <w:pgSz w:w="16840" w:h="11910" w:orient="landscape"/>
          <w:pgMar w:top="680" w:right="600" w:bottom="280" w:left="620" w:header="720" w:footer="720" w:gutter="0"/>
          <w:cols w:space="720"/>
        </w:sectPr>
      </w:pPr>
      <w:r w:rsidRPr="000820FA">
        <w:rPr>
          <w:sz w:val="22"/>
          <w:szCs w:val="22"/>
          <w:u w:val="none"/>
        </w:rPr>
        <w:t>COMMENTAIRES SUR</w:t>
      </w:r>
      <w:r w:rsidRPr="000820FA">
        <w:rPr>
          <w:spacing w:val="-4"/>
          <w:sz w:val="22"/>
          <w:szCs w:val="22"/>
          <w:u w:val="none"/>
        </w:rPr>
        <w:t xml:space="preserve"> </w:t>
      </w:r>
      <w:r w:rsidRPr="000820FA">
        <w:rPr>
          <w:sz w:val="22"/>
          <w:szCs w:val="22"/>
          <w:u w:val="none"/>
        </w:rPr>
        <w:t>LES</w:t>
      </w:r>
      <w:r w:rsidRPr="000820FA">
        <w:rPr>
          <w:spacing w:val="1"/>
          <w:sz w:val="22"/>
          <w:szCs w:val="22"/>
          <w:u w:val="none"/>
        </w:rPr>
        <w:t xml:space="preserve"> </w:t>
      </w:r>
      <w:r w:rsidRPr="000820FA">
        <w:rPr>
          <w:sz w:val="22"/>
          <w:szCs w:val="22"/>
          <w:u w:val="none"/>
        </w:rPr>
        <w:t>COMPTES 20</w:t>
      </w:r>
      <w:r w:rsidR="00577C32" w:rsidRPr="000820FA">
        <w:rPr>
          <w:sz w:val="22"/>
          <w:szCs w:val="22"/>
          <w:u w:val="none"/>
        </w:rPr>
        <w:t>2</w:t>
      </w:r>
      <w:r w:rsidR="006610D5" w:rsidRPr="000820FA">
        <w:rPr>
          <w:sz w:val="22"/>
          <w:szCs w:val="22"/>
          <w:u w:val="none"/>
        </w:rPr>
        <w:t>3</w:t>
      </w:r>
      <w:r w:rsidR="000820FA">
        <w:rPr>
          <w:sz w:val="22"/>
          <w:szCs w:val="22"/>
          <w:u w:val="none"/>
        </w:rPr>
        <w:t xml:space="preserve">                                                                                       </w:t>
      </w:r>
      <w:r w:rsidR="000820FA" w:rsidRPr="000820FA">
        <w:rPr>
          <w:sz w:val="22"/>
          <w:szCs w:val="22"/>
          <w:u w:val="none"/>
        </w:rPr>
        <w:t>CHARGES</w:t>
      </w:r>
      <w:r w:rsidR="000820FA" w:rsidRPr="000820FA">
        <w:rPr>
          <w:spacing w:val="-1"/>
          <w:sz w:val="22"/>
          <w:szCs w:val="22"/>
          <w:u w:val="none"/>
        </w:rPr>
        <w:t xml:space="preserve"> </w:t>
      </w:r>
      <w:r w:rsidR="000820FA" w:rsidRPr="000820FA">
        <w:rPr>
          <w:sz w:val="22"/>
          <w:szCs w:val="22"/>
          <w:u w:val="none"/>
        </w:rPr>
        <w:t>DIRECTES</w:t>
      </w:r>
      <w:r w:rsidR="000820FA" w:rsidRPr="000820FA">
        <w:rPr>
          <w:spacing w:val="-5"/>
          <w:sz w:val="22"/>
          <w:szCs w:val="22"/>
          <w:u w:val="none"/>
        </w:rPr>
        <w:t xml:space="preserve"> </w:t>
      </w:r>
      <w:r w:rsidR="000820FA" w:rsidRPr="000820FA">
        <w:rPr>
          <w:sz w:val="22"/>
          <w:szCs w:val="22"/>
          <w:u w:val="none"/>
        </w:rPr>
        <w:t>DE</w:t>
      </w:r>
      <w:r w:rsidR="000820FA" w:rsidRPr="000820FA">
        <w:rPr>
          <w:spacing w:val="-4"/>
          <w:sz w:val="22"/>
          <w:szCs w:val="22"/>
          <w:u w:val="none"/>
        </w:rPr>
        <w:t xml:space="preserve"> </w:t>
      </w:r>
      <w:r w:rsidR="000820FA" w:rsidRPr="000820FA">
        <w:rPr>
          <w:sz w:val="22"/>
          <w:szCs w:val="22"/>
          <w:u w:val="none"/>
        </w:rPr>
        <w:t>LA</w:t>
      </w:r>
      <w:r w:rsidR="000820FA" w:rsidRPr="000820FA">
        <w:rPr>
          <w:spacing w:val="-1"/>
          <w:sz w:val="22"/>
          <w:szCs w:val="22"/>
          <w:u w:val="none"/>
        </w:rPr>
        <w:t xml:space="preserve"> </w:t>
      </w:r>
      <w:r w:rsidR="000820FA" w:rsidRPr="000820FA">
        <w:rPr>
          <w:sz w:val="22"/>
          <w:szCs w:val="22"/>
          <w:u w:val="none"/>
        </w:rPr>
        <w:t>PASTORA</w:t>
      </w:r>
      <w:r w:rsidR="000820FA">
        <w:rPr>
          <w:sz w:val="22"/>
          <w:szCs w:val="22"/>
          <w:u w:val="none"/>
        </w:rPr>
        <w:t>LE</w:t>
      </w:r>
    </w:p>
    <w:p w14:paraId="54FDBB25" w14:textId="77777777" w:rsidR="000820FA" w:rsidRDefault="000820FA">
      <w:pPr>
        <w:pStyle w:val="Corpsdetexte"/>
      </w:pPr>
    </w:p>
    <w:p w14:paraId="3EE16638" w14:textId="48FFA7A6" w:rsidR="000820FA" w:rsidRDefault="008D77A5">
      <w:pPr>
        <w:pStyle w:val="Corpsdetexte"/>
      </w:pPr>
      <w:r>
        <w:t>Q</w:t>
      </w:r>
      <w:r w:rsidRPr="00EE4DAD">
        <w:t xml:space="preserve">uand bien même le résultat </w:t>
      </w:r>
      <w:r w:rsidR="00245AB4">
        <w:t xml:space="preserve">courant </w:t>
      </w:r>
      <w:r>
        <w:t>est</w:t>
      </w:r>
      <w:r w:rsidRPr="00EE4DAD">
        <w:t xml:space="preserve"> en baisse de 64,17% </w:t>
      </w:r>
      <w:r w:rsidR="00245AB4">
        <w:t>par rapport à 2022</w:t>
      </w:r>
      <w:r>
        <w:t>, l</w:t>
      </w:r>
      <w:r w:rsidR="006610D5" w:rsidRPr="00EE4DAD">
        <w:t>es comptes</w:t>
      </w:r>
      <w:r w:rsidR="00EE4DAD" w:rsidRPr="00EE4DAD">
        <w:t xml:space="preserve"> de</w:t>
      </w:r>
      <w:r w:rsidR="006610D5" w:rsidRPr="00EE4DAD">
        <w:t xml:space="preserve"> 2023</w:t>
      </w:r>
      <w:r w:rsidR="004A58BB" w:rsidRPr="00EE4DAD">
        <w:t xml:space="preserve"> confirment la bonne tenue de notre situation financière</w:t>
      </w:r>
      <w:r w:rsidR="00245AB4">
        <w:t>.</w:t>
      </w:r>
      <w:r w:rsidR="004A58BB" w:rsidRPr="00EE4DAD">
        <w:t xml:space="preserve"> </w:t>
      </w:r>
      <w:r w:rsidR="006F520F" w:rsidRPr="006F520F">
        <w:t>Les résultats d’ensemble s’inscrivent dans la continuité de la gestion prudentielle des années précédentes : ils permettent une nouvelle fois de porter un regard encourageant sur le futur.</w:t>
      </w:r>
    </w:p>
    <w:p w14:paraId="438AFFB2" w14:textId="77777777" w:rsidR="000C6D3D" w:rsidRPr="00EE4DAD" w:rsidRDefault="000C6D3D">
      <w:pPr>
        <w:pStyle w:val="Corpsdetexte"/>
      </w:pPr>
    </w:p>
    <w:p w14:paraId="0DB78C00" w14:textId="7AD39D05" w:rsidR="000C6D3D" w:rsidRDefault="00242357" w:rsidP="000C6D3D">
      <w:pPr>
        <w:pStyle w:val="Corpsdetexte"/>
        <w:tabs>
          <w:tab w:val="left" w:pos="5139"/>
        </w:tabs>
        <w:spacing w:line="243" w:lineRule="exact"/>
        <w:jc w:val="both"/>
        <w:rPr>
          <w:b/>
          <w:bCs/>
        </w:rPr>
      </w:pPr>
      <w:r w:rsidRPr="008D77A5">
        <w:rPr>
          <w:b/>
          <w:bCs/>
        </w:rPr>
        <w:t>Produits</w:t>
      </w:r>
      <w:r w:rsidRPr="008D77A5">
        <w:rPr>
          <w:b/>
          <w:bCs/>
          <w:spacing w:val="-4"/>
        </w:rPr>
        <w:t xml:space="preserve"> </w:t>
      </w:r>
      <w:r w:rsidRPr="008D77A5">
        <w:rPr>
          <w:b/>
          <w:bCs/>
        </w:rPr>
        <w:t>de</w:t>
      </w:r>
      <w:r w:rsidRPr="008D77A5">
        <w:rPr>
          <w:b/>
          <w:bCs/>
          <w:spacing w:val="-2"/>
        </w:rPr>
        <w:t xml:space="preserve"> </w:t>
      </w:r>
      <w:r w:rsidRPr="008D77A5">
        <w:rPr>
          <w:b/>
          <w:bCs/>
        </w:rPr>
        <w:t>fonctionnement</w:t>
      </w:r>
      <w:r w:rsidR="000C6D3D">
        <w:rPr>
          <w:b/>
          <w:bCs/>
        </w:rPr>
        <w:tab/>
      </w:r>
      <w:r w:rsidR="000C6D3D">
        <w:rPr>
          <w:b/>
          <w:bCs/>
        </w:rPr>
        <w:tab/>
        <w:t>441 229€</w:t>
      </w:r>
    </w:p>
    <w:p w14:paraId="28672098" w14:textId="738A45DC" w:rsidR="000C6D3D" w:rsidRDefault="000C6D3D" w:rsidP="000C6D3D">
      <w:pPr>
        <w:pStyle w:val="Corpsdetexte"/>
        <w:tabs>
          <w:tab w:val="left" w:pos="5139"/>
        </w:tabs>
        <w:spacing w:line="243" w:lineRule="exact"/>
        <w:jc w:val="both"/>
      </w:pPr>
      <w:r w:rsidRPr="000C6D3D">
        <w:rPr>
          <w:u w:val="single"/>
        </w:rPr>
        <w:t>L</w:t>
      </w:r>
      <w:r w:rsidRPr="000C6D3D">
        <w:t>es ressources de la paroisse (50% : revenus immobiliers ; 25% : denier) ont légèrement diminué en 2023, tout en soulignant une hausse du denier de l’Eglise de près de 7500 euros et du nombre de donateurs (234 dont 38 nouveaux.</w:t>
      </w:r>
    </w:p>
    <w:p w14:paraId="6C19EF2F" w14:textId="7190E6B7" w:rsidR="0047266E" w:rsidRPr="000820FA" w:rsidRDefault="00FD6880" w:rsidP="000C6D3D">
      <w:pPr>
        <w:pStyle w:val="Corpsdetexte"/>
        <w:tabs>
          <w:tab w:val="left" w:pos="5139"/>
        </w:tabs>
        <w:spacing w:line="243" w:lineRule="exact"/>
        <w:jc w:val="both"/>
      </w:pPr>
      <w:r w:rsidRPr="00EE4DAD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EE4DAD"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6F520F">
        <w:rPr>
          <w:rFonts w:ascii="Arial" w:eastAsia="Times New Roman" w:hAnsi="Arial" w:cs="Arial"/>
          <w:sz w:val="18"/>
          <w:szCs w:val="18"/>
          <w:lang w:eastAsia="fr-FR"/>
        </w:rPr>
        <w:tab/>
      </w:r>
    </w:p>
    <w:tbl>
      <w:tblPr>
        <w:tblStyle w:val="TableNormal"/>
        <w:tblW w:w="0" w:type="auto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1870"/>
      </w:tblGrid>
      <w:tr w:rsidR="0047266E" w14:paraId="49756091" w14:textId="77777777" w:rsidTr="00157F81">
        <w:trPr>
          <w:trHeight w:val="330"/>
        </w:trPr>
        <w:tc>
          <w:tcPr>
            <w:tcW w:w="4829" w:type="dxa"/>
          </w:tcPr>
          <w:p w14:paraId="39F9D2AA" w14:textId="77777777" w:rsidR="0047266E" w:rsidRDefault="00242357">
            <w:pPr>
              <w:pStyle w:val="TableParagraph"/>
              <w:spacing w:before="68"/>
              <w:ind w:left="913" w:right="8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En Euros</w:t>
            </w:r>
          </w:p>
        </w:tc>
        <w:tc>
          <w:tcPr>
            <w:tcW w:w="1870" w:type="dxa"/>
            <w:tcBorders>
              <w:right w:val="single" w:sz="4" w:space="0" w:color="000000"/>
            </w:tcBorders>
          </w:tcPr>
          <w:p w14:paraId="40138F83" w14:textId="3B03814D" w:rsidR="0047266E" w:rsidRDefault="00242357">
            <w:pPr>
              <w:pStyle w:val="TableParagraph"/>
              <w:spacing w:before="34" w:line="240" w:lineRule="auto"/>
              <w:ind w:left="2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F1389">
              <w:rPr>
                <w:b/>
                <w:sz w:val="20"/>
              </w:rPr>
              <w:t>23</w:t>
            </w:r>
          </w:p>
        </w:tc>
      </w:tr>
      <w:tr w:rsidR="0047266E" w14:paraId="4E425E3C" w14:textId="77777777" w:rsidTr="00157F81">
        <w:trPr>
          <w:trHeight w:val="334"/>
        </w:trPr>
        <w:tc>
          <w:tcPr>
            <w:tcW w:w="4829" w:type="dxa"/>
          </w:tcPr>
          <w:p w14:paraId="37067B8F" w14:textId="77777777" w:rsidR="0047266E" w:rsidRDefault="00242357">
            <w:pPr>
              <w:pStyle w:val="TableParagraph"/>
              <w:spacing w:before="70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Traitements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salaires</w:t>
            </w:r>
          </w:p>
        </w:tc>
        <w:tc>
          <w:tcPr>
            <w:tcW w:w="1870" w:type="dxa"/>
            <w:tcBorders>
              <w:right w:val="single" w:sz="4" w:space="0" w:color="000000"/>
            </w:tcBorders>
          </w:tcPr>
          <w:p w14:paraId="0EBEF179" w14:textId="7B21751F" w:rsidR="0047266E" w:rsidRPr="000F2899" w:rsidRDefault="00BD49C4" w:rsidP="0076098F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F2899">
              <w:rPr>
                <w:rFonts w:ascii="Arial" w:eastAsia="Times New Roman" w:hAnsi="Arial" w:cs="Arial"/>
                <w:sz w:val="18"/>
                <w:szCs w:val="18"/>
              </w:rPr>
              <w:t>93 898,83</w:t>
            </w:r>
          </w:p>
        </w:tc>
      </w:tr>
      <w:tr w:rsidR="0047266E" w14:paraId="572B5469" w14:textId="77777777" w:rsidTr="00157F81">
        <w:trPr>
          <w:trHeight w:val="285"/>
        </w:trPr>
        <w:tc>
          <w:tcPr>
            <w:tcW w:w="4829" w:type="dxa"/>
          </w:tcPr>
          <w:p w14:paraId="6326153D" w14:textId="77777777" w:rsidR="0047266E" w:rsidRDefault="00242357">
            <w:pPr>
              <w:pStyle w:val="TableParagraph"/>
              <w:spacing w:before="25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Fournitures</w:t>
            </w:r>
          </w:p>
        </w:tc>
        <w:tc>
          <w:tcPr>
            <w:tcW w:w="1870" w:type="dxa"/>
            <w:tcBorders>
              <w:right w:val="single" w:sz="4" w:space="0" w:color="000000"/>
            </w:tcBorders>
          </w:tcPr>
          <w:p w14:paraId="47099F26" w14:textId="5295DFCB" w:rsidR="0047266E" w:rsidRPr="000F2899" w:rsidRDefault="00BD49C4" w:rsidP="0076098F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F2899">
              <w:rPr>
                <w:rFonts w:ascii="Arial" w:eastAsia="Times New Roman" w:hAnsi="Arial" w:cs="Arial"/>
                <w:sz w:val="18"/>
                <w:szCs w:val="18"/>
              </w:rPr>
              <w:t>9 811,84</w:t>
            </w:r>
          </w:p>
        </w:tc>
      </w:tr>
      <w:tr w:rsidR="0047266E" w14:paraId="6B69CC6F" w14:textId="77777777" w:rsidTr="00157F81">
        <w:trPr>
          <w:trHeight w:val="282"/>
        </w:trPr>
        <w:tc>
          <w:tcPr>
            <w:tcW w:w="4829" w:type="dxa"/>
          </w:tcPr>
          <w:p w14:paraId="345237A8" w14:textId="77777777" w:rsidR="0047266E" w:rsidRDefault="00242357">
            <w:pPr>
              <w:pStyle w:val="TableParagraph"/>
              <w:spacing w:before="25" w:line="223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Catéchèse</w:t>
            </w:r>
          </w:p>
        </w:tc>
        <w:tc>
          <w:tcPr>
            <w:tcW w:w="1870" w:type="dxa"/>
            <w:tcBorders>
              <w:right w:val="single" w:sz="4" w:space="0" w:color="000000"/>
            </w:tcBorders>
          </w:tcPr>
          <w:p w14:paraId="512DF701" w14:textId="0E2D0CD3" w:rsidR="0047266E" w:rsidRPr="000F2899" w:rsidRDefault="00BD49C4" w:rsidP="0076098F">
            <w:pPr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F2899">
              <w:rPr>
                <w:rFonts w:ascii="Arial" w:eastAsia="Times New Roman" w:hAnsi="Arial" w:cs="Arial"/>
                <w:sz w:val="18"/>
                <w:szCs w:val="18"/>
              </w:rPr>
              <w:t>2 466,21</w:t>
            </w:r>
          </w:p>
        </w:tc>
      </w:tr>
      <w:tr w:rsidR="0047266E" w14:paraId="347607A2" w14:textId="77777777" w:rsidTr="009645E8">
        <w:trPr>
          <w:trHeight w:val="80"/>
        </w:trPr>
        <w:tc>
          <w:tcPr>
            <w:tcW w:w="4829" w:type="dxa"/>
          </w:tcPr>
          <w:p w14:paraId="30F98F2C" w14:textId="77777777" w:rsidR="0047266E" w:rsidRDefault="00242357">
            <w:pPr>
              <w:pStyle w:val="TableParagraph"/>
              <w:spacing w:before="25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directes</w:t>
            </w:r>
          </w:p>
        </w:tc>
        <w:tc>
          <w:tcPr>
            <w:tcW w:w="1870" w:type="dxa"/>
            <w:tcBorders>
              <w:right w:val="single" w:sz="4" w:space="0" w:color="000000"/>
            </w:tcBorders>
          </w:tcPr>
          <w:p w14:paraId="70F6505E" w14:textId="52842435" w:rsidR="0047266E" w:rsidRPr="000F2899" w:rsidRDefault="00740C5E">
            <w:pPr>
              <w:pStyle w:val="TableParagraph"/>
              <w:spacing w:before="25"/>
              <w:ind w:right="55"/>
              <w:rPr>
                <w:sz w:val="20"/>
              </w:rPr>
            </w:pPr>
            <w:r w:rsidRPr="000F2899">
              <w:rPr>
                <w:sz w:val="20"/>
              </w:rPr>
              <w:t>106 176, 88</w:t>
            </w:r>
          </w:p>
        </w:tc>
      </w:tr>
    </w:tbl>
    <w:p w14:paraId="2F0F9178" w14:textId="77777777" w:rsidR="0047266E" w:rsidRDefault="0047266E">
      <w:pPr>
        <w:pStyle w:val="Corpsdetexte"/>
        <w:spacing w:before="12"/>
        <w:rPr>
          <w:b/>
          <w:sz w:val="19"/>
        </w:rPr>
      </w:pPr>
    </w:p>
    <w:p w14:paraId="24AE421E" w14:textId="3B6ABFAD" w:rsidR="009645E8" w:rsidRPr="004C649B" w:rsidRDefault="00100922" w:rsidP="004C649B">
      <w:pPr>
        <w:pStyle w:val="Corpsdetexte"/>
        <w:ind w:left="100"/>
        <w:rPr>
          <w:bCs/>
        </w:rPr>
        <w:sectPr w:rsidR="009645E8" w:rsidRPr="004C649B">
          <w:type w:val="continuous"/>
          <w:pgSz w:w="16840" w:h="11910" w:orient="landscape"/>
          <w:pgMar w:top="160" w:right="600" w:bottom="280" w:left="620" w:header="720" w:footer="720" w:gutter="0"/>
          <w:cols w:num="2" w:space="720" w:equalWidth="0">
            <w:col w:w="7483" w:space="577"/>
            <w:col w:w="7560"/>
          </w:cols>
        </w:sectPr>
      </w:pPr>
      <w:bookmarkStart w:id="3" w:name="_Hlk152322650"/>
      <w:r w:rsidRPr="000F2899">
        <w:rPr>
          <w:bCs/>
        </w:rPr>
        <w:t>Les charges directes de la pastorale s</w:t>
      </w:r>
      <w:r w:rsidR="000F2899" w:rsidRPr="000F2899">
        <w:rPr>
          <w:bCs/>
        </w:rPr>
        <w:t>’élèvent</w:t>
      </w:r>
      <w:r w:rsidRPr="000F2899">
        <w:rPr>
          <w:bCs/>
        </w:rPr>
        <w:t xml:space="preserve"> à 106 </w:t>
      </w:r>
      <w:r w:rsidR="00600907" w:rsidRPr="000F2899">
        <w:rPr>
          <w:bCs/>
        </w:rPr>
        <w:t>176, 88</w:t>
      </w:r>
      <w:r w:rsidRPr="000F2899">
        <w:rPr>
          <w:bCs/>
        </w:rPr>
        <w:t xml:space="preserve">€ </w:t>
      </w:r>
      <w:r w:rsidR="00396CC3" w:rsidRPr="000F2899">
        <w:rPr>
          <w:bCs/>
        </w:rPr>
        <w:t>en 2023</w:t>
      </w:r>
      <w:r w:rsidRPr="000F2899">
        <w:rPr>
          <w:bCs/>
        </w:rPr>
        <w:t xml:space="preserve">.  </w:t>
      </w:r>
      <w:r w:rsidR="00396CC3" w:rsidRPr="000F2899">
        <w:rPr>
          <w:bCs/>
        </w:rPr>
        <w:t xml:space="preserve">Au même niveau qu’en 2022 </w:t>
      </w:r>
      <w:r w:rsidRPr="000F2899">
        <w:rPr>
          <w:bCs/>
        </w:rPr>
        <w:t xml:space="preserve">elles représentent </w:t>
      </w:r>
      <w:r w:rsidR="00014E68" w:rsidRPr="000F2899">
        <w:rPr>
          <w:bCs/>
        </w:rPr>
        <w:t xml:space="preserve">25 </w:t>
      </w:r>
      <w:r w:rsidRPr="000F2899">
        <w:rPr>
          <w:bCs/>
        </w:rPr>
        <w:t>% des charges totales de fonctionnem</w:t>
      </w:r>
      <w:bookmarkEnd w:id="3"/>
      <w:r w:rsidR="006B7421">
        <w:rPr>
          <w:bCs/>
        </w:rPr>
        <w:t>ent.</w:t>
      </w:r>
    </w:p>
    <w:p w14:paraId="4C2B3717" w14:textId="26969B61" w:rsidR="0047266E" w:rsidRPr="004C649B" w:rsidRDefault="00242357" w:rsidP="00C55DA8">
      <w:pPr>
        <w:pStyle w:val="Corpsdetexte"/>
        <w:tabs>
          <w:tab w:val="left" w:pos="5139"/>
        </w:tabs>
        <w:spacing w:before="104" w:line="243" w:lineRule="exact"/>
        <w:jc w:val="both"/>
        <w:rPr>
          <w:b/>
          <w:bCs/>
        </w:rPr>
      </w:pPr>
      <w:r w:rsidRPr="008D77A5">
        <w:rPr>
          <w:b/>
          <w:bCs/>
        </w:rPr>
        <w:t>Charges</w:t>
      </w:r>
      <w:r w:rsidRPr="008D77A5">
        <w:rPr>
          <w:b/>
          <w:bCs/>
          <w:spacing w:val="-2"/>
        </w:rPr>
        <w:t xml:space="preserve"> </w:t>
      </w:r>
      <w:r w:rsidRPr="008D77A5">
        <w:rPr>
          <w:b/>
          <w:bCs/>
        </w:rPr>
        <w:t>de</w:t>
      </w:r>
      <w:r w:rsidRPr="008D77A5">
        <w:rPr>
          <w:b/>
          <w:bCs/>
          <w:spacing w:val="-2"/>
        </w:rPr>
        <w:t xml:space="preserve"> </w:t>
      </w:r>
      <w:r w:rsidRPr="008D77A5">
        <w:rPr>
          <w:b/>
          <w:bCs/>
        </w:rPr>
        <w:t>fonctionnement</w:t>
      </w:r>
      <w:r w:rsidR="00EE4DAD" w:rsidRPr="00EE4DAD">
        <w:tab/>
      </w:r>
      <w:r w:rsidR="00561495" w:rsidRPr="00EE4DAD">
        <w:tab/>
      </w:r>
      <w:r w:rsidR="000C6D3D">
        <w:rPr>
          <w:rFonts w:asciiTheme="minorHAnsi" w:eastAsia="Times New Roman" w:hAnsiTheme="minorHAnsi" w:cstheme="minorHAnsi"/>
          <w:b/>
          <w:bCs/>
          <w:lang w:eastAsia="fr-FR"/>
        </w:rPr>
        <w:t xml:space="preserve">411 </w:t>
      </w:r>
      <w:r w:rsidR="00600907" w:rsidRPr="00424844">
        <w:rPr>
          <w:rFonts w:asciiTheme="minorHAnsi" w:eastAsia="Times New Roman" w:hAnsiTheme="minorHAnsi" w:cstheme="minorHAnsi"/>
          <w:b/>
          <w:bCs/>
          <w:lang w:eastAsia="fr-FR"/>
        </w:rPr>
        <w:t>267</w:t>
      </w:r>
      <w:r w:rsidR="000C6D3D">
        <w:rPr>
          <w:rFonts w:asciiTheme="minorHAnsi" w:eastAsia="Times New Roman" w:hAnsiTheme="minorHAnsi" w:cstheme="minorHAnsi"/>
          <w:b/>
          <w:bCs/>
          <w:lang w:eastAsia="fr-FR"/>
        </w:rPr>
        <w:t>€</w:t>
      </w:r>
      <w:r w:rsidRPr="00EE4DAD">
        <w:tab/>
      </w:r>
    </w:p>
    <w:p w14:paraId="79D4D80F" w14:textId="2FFD16C3" w:rsidR="004A58BB" w:rsidRPr="00EE4DAD" w:rsidRDefault="004A58BB" w:rsidP="00260E8D">
      <w:pPr>
        <w:pStyle w:val="Corpsdetexte"/>
        <w:spacing w:before="1"/>
        <w:jc w:val="both"/>
      </w:pPr>
      <w:r w:rsidRPr="00EE4DAD">
        <w:t>Les charges de fonct</w:t>
      </w:r>
      <w:r w:rsidR="00FE0F08" w:rsidRPr="00EE4DAD">
        <w:t>ionnement</w:t>
      </w:r>
      <w:r w:rsidR="006F520F">
        <w:t xml:space="preserve"> (</w:t>
      </w:r>
      <w:r w:rsidR="006F520F" w:rsidRPr="00EE4DAD">
        <w:t>40%</w:t>
      </w:r>
      <w:r w:rsidR="006F520F">
        <w:t> : salaires ;</w:t>
      </w:r>
      <w:r w:rsidR="006F520F" w:rsidRPr="00EE4DAD">
        <w:t xml:space="preserve"> 22%</w:t>
      </w:r>
      <w:r w:rsidR="006F520F">
        <w:t xml:space="preserve"> : </w:t>
      </w:r>
      <w:r w:rsidR="006F520F" w:rsidRPr="00EE4DAD">
        <w:t>solidarité</w:t>
      </w:r>
      <w:r w:rsidR="006F520F">
        <w:t>)</w:t>
      </w:r>
      <w:r w:rsidR="00FE0F08" w:rsidRPr="00EE4DAD">
        <w:t xml:space="preserve"> sont en hausse de 20%</w:t>
      </w:r>
      <w:r w:rsidRPr="00EE4DAD">
        <w:t>, marquées par une augmentation du montant de</w:t>
      </w:r>
      <w:r w:rsidR="00066A68" w:rsidRPr="00EE4DAD">
        <w:t>s charges</w:t>
      </w:r>
      <w:r w:rsidRPr="00EE4DAD">
        <w:t xml:space="preserve"> </w:t>
      </w:r>
      <w:r w:rsidR="000659C3" w:rsidRPr="00EE4DAD">
        <w:t>diocésaines (</w:t>
      </w:r>
      <w:r w:rsidR="006956EA" w:rsidRPr="00EE4DAD">
        <w:t>17000€)</w:t>
      </w:r>
      <w:r w:rsidR="00FE0F08" w:rsidRPr="00EE4DAD">
        <w:t xml:space="preserve"> et d’</w:t>
      </w:r>
      <w:r w:rsidR="006956EA" w:rsidRPr="00EE4DAD">
        <w:t xml:space="preserve">une nouvelle </w:t>
      </w:r>
      <w:r w:rsidR="006F520F">
        <w:t>« </w:t>
      </w:r>
      <w:r w:rsidR="000659C3" w:rsidRPr="00EE4DAD">
        <w:t>C</w:t>
      </w:r>
      <w:r w:rsidR="006F520F">
        <w:t>ontribution Volontaire de Solidarité »</w:t>
      </w:r>
      <w:r w:rsidR="000659C3" w:rsidRPr="00EE4DAD">
        <w:t xml:space="preserve"> (</w:t>
      </w:r>
      <w:r w:rsidR="006956EA" w:rsidRPr="00EE4DAD">
        <w:t>15</w:t>
      </w:r>
      <w:r w:rsidR="00FE0F08" w:rsidRPr="00EE4DAD">
        <w:t>000</w:t>
      </w:r>
      <w:r w:rsidR="006956EA" w:rsidRPr="00EE4DAD">
        <w:t>€)</w:t>
      </w:r>
      <w:r w:rsidR="006F520F">
        <w:t xml:space="preserve"> en plus du « don Barnabé » </w:t>
      </w:r>
      <w:r w:rsidR="006F520F" w:rsidRPr="00EE4DAD">
        <w:t>(15000€)</w:t>
      </w:r>
      <w:r w:rsidR="00424844">
        <w:t>.</w:t>
      </w:r>
      <w:r w:rsidR="004C649B">
        <w:t xml:space="preserve"> </w:t>
      </w:r>
    </w:p>
    <w:p w14:paraId="7063C60F" w14:textId="77777777" w:rsidR="00260E8D" w:rsidRDefault="00260E8D" w:rsidP="00424844">
      <w:pPr>
        <w:pStyle w:val="Corpsdetexte"/>
        <w:tabs>
          <w:tab w:val="left" w:pos="5140"/>
        </w:tabs>
        <w:spacing w:before="1" w:line="243" w:lineRule="exact"/>
        <w:jc w:val="both"/>
        <w:rPr>
          <w:b/>
          <w:bCs/>
        </w:rPr>
      </w:pPr>
    </w:p>
    <w:p w14:paraId="7A584E30" w14:textId="233BBF48" w:rsidR="00561495" w:rsidRPr="00EE4DAD" w:rsidRDefault="00242357" w:rsidP="00424844">
      <w:pPr>
        <w:pStyle w:val="Corpsdetexte"/>
        <w:tabs>
          <w:tab w:val="left" w:pos="5140"/>
        </w:tabs>
        <w:spacing w:before="1" w:line="243" w:lineRule="exact"/>
        <w:jc w:val="both"/>
      </w:pPr>
      <w:r w:rsidRPr="00424844">
        <w:rPr>
          <w:b/>
          <w:bCs/>
        </w:rPr>
        <w:t>Résultat</w:t>
      </w:r>
      <w:r w:rsidRPr="00424844">
        <w:rPr>
          <w:b/>
          <w:bCs/>
          <w:spacing w:val="-2"/>
        </w:rPr>
        <w:t xml:space="preserve"> </w:t>
      </w:r>
      <w:r w:rsidR="00B5774E" w:rsidRPr="00424844">
        <w:rPr>
          <w:b/>
          <w:bCs/>
        </w:rPr>
        <w:t>courant</w:t>
      </w:r>
      <w:r w:rsidR="00561495" w:rsidRPr="00EE4DAD">
        <w:t xml:space="preserve">       </w:t>
      </w:r>
      <w:r w:rsidR="00561495" w:rsidRPr="00EE4DAD">
        <w:tab/>
      </w:r>
      <w:r w:rsidR="00561495" w:rsidRPr="00EE4DAD">
        <w:tab/>
      </w:r>
      <w:r w:rsidR="00600907" w:rsidRPr="00424844">
        <w:rPr>
          <w:rFonts w:ascii="Arial" w:hAnsi="Arial" w:cs="Arial"/>
          <w:b/>
          <w:bCs/>
          <w:sz w:val="18"/>
          <w:szCs w:val="18"/>
        </w:rPr>
        <w:t>48 206,41</w:t>
      </w:r>
      <w:r w:rsidR="00561495" w:rsidRPr="00424844">
        <w:rPr>
          <w:b/>
          <w:bCs/>
        </w:rPr>
        <w:t>€</w:t>
      </w:r>
    </w:p>
    <w:p w14:paraId="31BBDDCF" w14:textId="787DED56" w:rsidR="00260E8D" w:rsidRPr="00163CEA" w:rsidRDefault="00F8410A" w:rsidP="00260E8D">
      <w:pPr>
        <w:pStyle w:val="Corpsdetexte"/>
        <w:spacing w:before="12"/>
      </w:pPr>
      <w:r w:rsidRPr="00EE4DAD">
        <w:t>Le résultat est en baisse de 64%</w:t>
      </w:r>
      <w:r w:rsidR="00424844">
        <w:t>.</w:t>
      </w:r>
      <w:r w:rsidR="00163CEA">
        <w:t xml:space="preserve"> </w:t>
      </w:r>
      <w:r w:rsidR="00774D17" w:rsidRPr="00163CEA">
        <w:t>A cela différentes causes, en particulier la hausse des charges</w:t>
      </w:r>
      <w:r w:rsidR="006872E4">
        <w:t xml:space="preserve"> </w:t>
      </w:r>
      <w:r w:rsidR="00774D17" w:rsidRPr="00163CEA">
        <w:t>dans le cadre des travaux</w:t>
      </w:r>
      <w:r w:rsidR="00BB234C">
        <w:t xml:space="preserve"> « </w:t>
      </w:r>
      <w:proofErr w:type="gramStart"/>
      <w:r w:rsidR="00BB234C">
        <w:t>C,V</w:t>
      </w:r>
      <w:proofErr w:type="gramEnd"/>
      <w:r w:rsidR="00BB234C">
        <w:t>,C »</w:t>
      </w:r>
      <w:r w:rsidR="00774D17" w:rsidRPr="00163CEA">
        <w:t xml:space="preserve"> (enregistrée </w:t>
      </w:r>
      <w:r w:rsidR="00163CEA">
        <w:t>dans les</w:t>
      </w:r>
      <w:r w:rsidR="00774D17" w:rsidRPr="00163CEA">
        <w:t xml:space="preserve"> « Autres frais ») et l’augmentation volontaire de notre contribution à la solidarité diocésaine.</w:t>
      </w:r>
    </w:p>
    <w:p w14:paraId="7596F6DE" w14:textId="77777777" w:rsidR="00774D17" w:rsidRDefault="00774D17" w:rsidP="00260E8D">
      <w:pPr>
        <w:pStyle w:val="Corpsdetexte"/>
        <w:spacing w:before="12"/>
      </w:pPr>
    </w:p>
    <w:p w14:paraId="1FCB56AF" w14:textId="77777777" w:rsidR="00163CEA" w:rsidRPr="00774D17" w:rsidRDefault="00163CEA" w:rsidP="00260E8D">
      <w:pPr>
        <w:pStyle w:val="Corpsdetexte"/>
        <w:spacing w:before="12"/>
      </w:pPr>
    </w:p>
    <w:p w14:paraId="7938419A" w14:textId="65114B77" w:rsidR="004C649B" w:rsidRDefault="006F520F" w:rsidP="00260E8D">
      <w:pPr>
        <w:pStyle w:val="Corpsdetexte"/>
        <w:ind w:right="117"/>
        <w:jc w:val="both"/>
        <w:rPr>
          <w:b/>
          <w:bCs/>
          <w:i/>
          <w:iCs/>
        </w:rPr>
      </w:pPr>
      <w:r w:rsidRPr="000F2899">
        <w:rPr>
          <w:b/>
          <w:bCs/>
          <w:i/>
          <w:iCs/>
        </w:rPr>
        <w:t>En soutien de ces efforts,</w:t>
      </w:r>
      <w:r w:rsidRPr="000F2899">
        <w:rPr>
          <w:b/>
          <w:bCs/>
          <w:i/>
          <w:iCs/>
          <w:spacing w:val="46"/>
        </w:rPr>
        <w:t xml:space="preserve"> </w:t>
      </w:r>
      <w:r w:rsidRPr="000F2899">
        <w:rPr>
          <w:b/>
          <w:bCs/>
          <w:i/>
          <w:iCs/>
        </w:rPr>
        <w:t>234 donateurs ont contribué, en 2023, au Denier de l’Eglise</w:t>
      </w:r>
      <w:r w:rsidRPr="000F2899">
        <w:rPr>
          <w:b/>
          <w:bCs/>
          <w:i/>
          <w:iCs/>
          <w:spacing w:val="1"/>
        </w:rPr>
        <w:t xml:space="preserve"> </w:t>
      </w:r>
      <w:r w:rsidRPr="000F2899">
        <w:rPr>
          <w:b/>
          <w:bCs/>
          <w:i/>
          <w:iCs/>
        </w:rPr>
        <w:t>pour</w:t>
      </w:r>
      <w:r w:rsidRPr="000F2899">
        <w:rPr>
          <w:b/>
          <w:bCs/>
          <w:i/>
          <w:iCs/>
          <w:spacing w:val="-2"/>
        </w:rPr>
        <w:t xml:space="preserve"> </w:t>
      </w:r>
      <w:r w:rsidRPr="000F2899">
        <w:rPr>
          <w:b/>
          <w:bCs/>
          <w:i/>
          <w:iCs/>
        </w:rPr>
        <w:t>un</w:t>
      </w:r>
      <w:r w:rsidRPr="000F2899">
        <w:rPr>
          <w:b/>
          <w:bCs/>
          <w:i/>
          <w:iCs/>
          <w:spacing w:val="2"/>
        </w:rPr>
        <w:t xml:space="preserve"> </w:t>
      </w:r>
      <w:r w:rsidRPr="000F2899">
        <w:rPr>
          <w:b/>
          <w:bCs/>
          <w:i/>
          <w:iCs/>
        </w:rPr>
        <w:t>montant</w:t>
      </w:r>
      <w:r w:rsidRPr="000F2899">
        <w:rPr>
          <w:b/>
          <w:bCs/>
          <w:i/>
          <w:iCs/>
          <w:spacing w:val="-1"/>
        </w:rPr>
        <w:t xml:space="preserve"> </w:t>
      </w:r>
      <w:r w:rsidRPr="000F2899">
        <w:rPr>
          <w:b/>
          <w:bCs/>
          <w:i/>
          <w:iCs/>
        </w:rPr>
        <w:t>de près de 107 000</w:t>
      </w:r>
      <w:r w:rsidRPr="000F2899">
        <w:rPr>
          <w:b/>
          <w:bCs/>
          <w:i/>
          <w:iCs/>
          <w:spacing w:val="-1"/>
        </w:rPr>
        <w:t xml:space="preserve"> </w:t>
      </w:r>
      <w:r w:rsidRPr="000F2899">
        <w:rPr>
          <w:b/>
          <w:bCs/>
          <w:i/>
          <w:iCs/>
        </w:rPr>
        <w:t>€.</w:t>
      </w:r>
      <w:r w:rsidRPr="000F2899">
        <w:rPr>
          <w:b/>
          <w:bCs/>
          <w:i/>
          <w:iCs/>
          <w:spacing w:val="2"/>
        </w:rPr>
        <w:t xml:space="preserve"> </w:t>
      </w:r>
      <w:r w:rsidRPr="000F2899">
        <w:rPr>
          <w:b/>
          <w:bCs/>
          <w:i/>
          <w:iCs/>
        </w:rPr>
        <w:t>Qu’ils</w:t>
      </w:r>
      <w:r w:rsidRPr="000F2899">
        <w:rPr>
          <w:b/>
          <w:bCs/>
          <w:i/>
          <w:iCs/>
          <w:spacing w:val="-1"/>
        </w:rPr>
        <w:t xml:space="preserve"> en </w:t>
      </w:r>
      <w:r w:rsidRPr="000F2899">
        <w:rPr>
          <w:b/>
          <w:bCs/>
          <w:i/>
          <w:iCs/>
        </w:rPr>
        <w:t>soient</w:t>
      </w:r>
      <w:r w:rsidRPr="000F2899">
        <w:rPr>
          <w:b/>
          <w:bCs/>
          <w:i/>
          <w:iCs/>
          <w:spacing w:val="-1"/>
        </w:rPr>
        <w:t xml:space="preserve"> </w:t>
      </w:r>
      <w:r w:rsidRPr="000F2899">
        <w:rPr>
          <w:b/>
          <w:bCs/>
          <w:i/>
          <w:iCs/>
        </w:rPr>
        <w:t>ici</w:t>
      </w:r>
      <w:r w:rsidRPr="000F2899">
        <w:rPr>
          <w:b/>
          <w:bCs/>
          <w:i/>
          <w:iCs/>
          <w:spacing w:val="-1"/>
        </w:rPr>
        <w:t xml:space="preserve"> encore </w:t>
      </w:r>
      <w:r w:rsidRPr="000F2899">
        <w:rPr>
          <w:b/>
          <w:bCs/>
          <w:i/>
          <w:iCs/>
        </w:rPr>
        <w:t>chaleureusement</w:t>
      </w:r>
      <w:r w:rsidRPr="000F2899">
        <w:rPr>
          <w:b/>
          <w:bCs/>
          <w:i/>
          <w:iCs/>
          <w:spacing w:val="1"/>
        </w:rPr>
        <w:t xml:space="preserve"> </w:t>
      </w:r>
      <w:r w:rsidRPr="000F2899">
        <w:rPr>
          <w:b/>
          <w:bCs/>
          <w:i/>
          <w:iCs/>
        </w:rPr>
        <w:t>remerciés</w:t>
      </w:r>
      <w:r w:rsidRPr="000F2899">
        <w:rPr>
          <w:b/>
          <w:bCs/>
          <w:i/>
          <w:iCs/>
          <w:spacing w:val="-1"/>
        </w:rPr>
        <w:t xml:space="preserve"> </w:t>
      </w:r>
      <w:r w:rsidRPr="000F2899">
        <w:rPr>
          <w:b/>
          <w:bCs/>
          <w:i/>
          <w:iCs/>
        </w:rPr>
        <w:t>!</w:t>
      </w:r>
    </w:p>
    <w:p w14:paraId="1D1154ED" w14:textId="77777777" w:rsidR="00260E8D" w:rsidRDefault="00260E8D" w:rsidP="00260E8D">
      <w:pPr>
        <w:pStyle w:val="Corpsdetexte"/>
        <w:ind w:right="117"/>
        <w:jc w:val="both"/>
      </w:pPr>
    </w:p>
    <w:p w14:paraId="45D17D5A" w14:textId="77777777" w:rsidR="000C6D3D" w:rsidRDefault="000C6D3D" w:rsidP="00260E8D">
      <w:pPr>
        <w:pStyle w:val="Corpsdetexte"/>
        <w:ind w:right="117"/>
        <w:jc w:val="both"/>
      </w:pPr>
    </w:p>
    <w:p w14:paraId="577E1F0F" w14:textId="77777777" w:rsidR="00163CEA" w:rsidRDefault="00163CEA" w:rsidP="00260E8D">
      <w:pPr>
        <w:pStyle w:val="Corpsdetexte"/>
        <w:ind w:right="117"/>
        <w:jc w:val="both"/>
      </w:pPr>
    </w:p>
    <w:p w14:paraId="06465DE8" w14:textId="77777777" w:rsidR="00774D17" w:rsidRPr="00260E8D" w:rsidRDefault="00774D17" w:rsidP="00260E8D">
      <w:pPr>
        <w:pStyle w:val="Corpsdetexte"/>
        <w:ind w:right="117"/>
        <w:jc w:val="both"/>
      </w:pPr>
    </w:p>
    <w:p w14:paraId="012A2233" w14:textId="32AEDBF0" w:rsidR="000820FA" w:rsidRPr="000820FA" w:rsidRDefault="000820FA" w:rsidP="000820FA">
      <w:pPr>
        <w:pStyle w:val="Titre1"/>
        <w:tabs>
          <w:tab w:val="left" w:pos="8159"/>
        </w:tabs>
        <w:rPr>
          <w:sz w:val="22"/>
          <w:szCs w:val="22"/>
          <w:u w:val="none"/>
        </w:rPr>
      </w:pPr>
      <w:r w:rsidRPr="000820FA">
        <w:rPr>
          <w:sz w:val="22"/>
          <w:szCs w:val="22"/>
          <w:u w:val="none"/>
        </w:rPr>
        <w:t>BILAN</w:t>
      </w:r>
      <w:r w:rsidRPr="000820FA">
        <w:rPr>
          <w:spacing w:val="2"/>
          <w:sz w:val="22"/>
          <w:szCs w:val="22"/>
          <w:u w:val="none"/>
        </w:rPr>
        <w:t xml:space="preserve"> </w:t>
      </w:r>
      <w:r w:rsidRPr="000820FA">
        <w:rPr>
          <w:sz w:val="22"/>
          <w:szCs w:val="22"/>
          <w:u w:val="none"/>
        </w:rPr>
        <w:t>DES</w:t>
      </w:r>
      <w:r w:rsidRPr="000820FA">
        <w:rPr>
          <w:spacing w:val="-3"/>
          <w:sz w:val="22"/>
          <w:szCs w:val="22"/>
          <w:u w:val="none"/>
        </w:rPr>
        <w:t xml:space="preserve"> </w:t>
      </w:r>
      <w:r w:rsidRPr="000820FA">
        <w:rPr>
          <w:sz w:val="22"/>
          <w:szCs w:val="22"/>
          <w:u w:val="none"/>
        </w:rPr>
        <w:t>ACTIVITES</w:t>
      </w:r>
      <w:r w:rsidRPr="000820FA">
        <w:rPr>
          <w:spacing w:val="-2"/>
          <w:sz w:val="22"/>
          <w:szCs w:val="22"/>
          <w:u w:val="none"/>
        </w:rPr>
        <w:t xml:space="preserve"> </w:t>
      </w:r>
      <w:r w:rsidRPr="000820FA">
        <w:rPr>
          <w:sz w:val="22"/>
          <w:szCs w:val="22"/>
          <w:u w:val="none"/>
        </w:rPr>
        <w:t>PASTORALES</w:t>
      </w:r>
    </w:p>
    <w:p w14:paraId="5C914CC0" w14:textId="77777777" w:rsidR="000820FA" w:rsidRDefault="000820FA" w:rsidP="009645E8">
      <w:pPr>
        <w:pStyle w:val="Corpsdetexte"/>
        <w:ind w:right="117"/>
        <w:jc w:val="both"/>
        <w:rPr>
          <w:b/>
          <w:bCs/>
        </w:rPr>
      </w:pPr>
    </w:p>
    <w:p w14:paraId="358A13A6" w14:textId="3E68FBD1" w:rsidR="0047266E" w:rsidRDefault="00294B30" w:rsidP="009645E8">
      <w:pPr>
        <w:pStyle w:val="Corpsdetexte"/>
        <w:ind w:right="117"/>
        <w:jc w:val="both"/>
      </w:pPr>
      <w:r>
        <w:rPr>
          <w:b/>
          <w:bCs/>
        </w:rPr>
        <w:t>Que</w:t>
      </w:r>
      <w:r w:rsidR="009645E8" w:rsidRPr="00475CB3">
        <w:rPr>
          <w:b/>
          <w:bCs/>
        </w:rPr>
        <w:t>l</w:t>
      </w:r>
      <w:r>
        <w:rPr>
          <w:b/>
          <w:bCs/>
        </w:rPr>
        <w:t>ques chiffres réjouissant de l</w:t>
      </w:r>
      <w:r w:rsidR="009645E8" w:rsidRPr="00475CB3">
        <w:rPr>
          <w:b/>
          <w:bCs/>
        </w:rPr>
        <w:t>a pastorale</w:t>
      </w:r>
      <w:r w:rsidR="009645E8">
        <w:t xml:space="preserve"> en 202</w:t>
      </w:r>
      <w:r w:rsidR="00600907">
        <w:t>3</w:t>
      </w:r>
      <w:r w:rsidR="009645E8">
        <w:rPr>
          <w:spacing w:val="-2"/>
        </w:rPr>
        <w:t xml:space="preserve"> </w:t>
      </w:r>
      <w:r w:rsidR="009645E8">
        <w:t>:</w:t>
      </w:r>
    </w:p>
    <w:p w14:paraId="3856A5EF" w14:textId="0E212A51" w:rsidR="00475CB3" w:rsidRDefault="00475CB3" w:rsidP="00475CB3">
      <w:pPr>
        <w:pStyle w:val="Paragraphedeliste"/>
        <w:numPr>
          <w:ilvl w:val="0"/>
          <w:numId w:val="1"/>
        </w:numPr>
        <w:tabs>
          <w:tab w:val="left" w:pos="1093"/>
          <w:tab w:val="left" w:pos="1094"/>
        </w:tabs>
        <w:spacing w:before="2" w:line="255" w:lineRule="exact"/>
        <w:ind w:hanging="361"/>
        <w:rPr>
          <w:sz w:val="20"/>
        </w:rPr>
      </w:pP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jeunes</w:t>
      </w:r>
      <w:r>
        <w:rPr>
          <w:spacing w:val="2"/>
          <w:sz w:val="20"/>
        </w:rPr>
        <w:t xml:space="preserve"> </w:t>
      </w:r>
      <w:r>
        <w:rPr>
          <w:sz w:val="20"/>
        </w:rPr>
        <w:t>enfants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sont</w:t>
      </w:r>
      <w:r>
        <w:rPr>
          <w:spacing w:val="-1"/>
          <w:sz w:val="20"/>
        </w:rPr>
        <w:t xml:space="preserve"> </w:t>
      </w:r>
      <w:r>
        <w:rPr>
          <w:sz w:val="20"/>
        </w:rPr>
        <w:t>réunis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l’Eveil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Foi avec leurs parents.</w:t>
      </w:r>
    </w:p>
    <w:p w14:paraId="0D20AA70" w14:textId="126C09CC" w:rsidR="0047266E" w:rsidRDefault="00600907">
      <w:pPr>
        <w:pStyle w:val="Paragraphedeliste"/>
        <w:numPr>
          <w:ilvl w:val="0"/>
          <w:numId w:val="1"/>
        </w:numPr>
        <w:tabs>
          <w:tab w:val="left" w:pos="1093"/>
          <w:tab w:val="left" w:pos="1094"/>
        </w:tabs>
        <w:spacing w:line="255" w:lineRule="exact"/>
        <w:ind w:hanging="361"/>
        <w:rPr>
          <w:sz w:val="20"/>
        </w:rPr>
      </w:pPr>
      <w:r>
        <w:rPr>
          <w:sz w:val="20"/>
        </w:rPr>
        <w:t xml:space="preserve">16 </w:t>
      </w:r>
      <w:r>
        <w:rPr>
          <w:spacing w:val="-2"/>
          <w:sz w:val="20"/>
        </w:rPr>
        <w:t>enfants</w:t>
      </w:r>
      <w:r w:rsidR="00782ADB">
        <w:rPr>
          <w:spacing w:val="-3"/>
          <w:sz w:val="20"/>
        </w:rPr>
        <w:t xml:space="preserve"> </w:t>
      </w:r>
      <w:r w:rsidR="00782ADB">
        <w:rPr>
          <w:sz w:val="20"/>
        </w:rPr>
        <w:t>ont</w:t>
      </w:r>
      <w:r w:rsidR="00782ADB">
        <w:rPr>
          <w:spacing w:val="-1"/>
          <w:sz w:val="20"/>
        </w:rPr>
        <w:t xml:space="preserve"> </w:t>
      </w:r>
      <w:r w:rsidR="00782ADB">
        <w:rPr>
          <w:sz w:val="20"/>
        </w:rPr>
        <w:t>suivi</w:t>
      </w:r>
      <w:r w:rsidR="00782ADB">
        <w:rPr>
          <w:spacing w:val="45"/>
          <w:sz w:val="20"/>
        </w:rPr>
        <w:t xml:space="preserve"> </w:t>
      </w:r>
      <w:r w:rsidR="00782ADB">
        <w:rPr>
          <w:sz w:val="20"/>
        </w:rPr>
        <w:t>le</w:t>
      </w:r>
      <w:r w:rsidR="00782ADB">
        <w:rPr>
          <w:spacing w:val="-2"/>
          <w:sz w:val="20"/>
        </w:rPr>
        <w:t xml:space="preserve"> </w:t>
      </w:r>
      <w:r w:rsidR="00782ADB">
        <w:rPr>
          <w:sz w:val="20"/>
        </w:rPr>
        <w:t>catéchisme</w:t>
      </w:r>
      <w:r w:rsidR="00C3121F">
        <w:rPr>
          <w:sz w:val="20"/>
        </w:rPr>
        <w:t>.</w:t>
      </w:r>
    </w:p>
    <w:p w14:paraId="39374A14" w14:textId="57EE2985" w:rsidR="0047266E" w:rsidRDefault="008D2FDF">
      <w:pPr>
        <w:pStyle w:val="Paragraphedeliste"/>
        <w:numPr>
          <w:ilvl w:val="0"/>
          <w:numId w:val="1"/>
        </w:numPr>
        <w:tabs>
          <w:tab w:val="left" w:pos="1093"/>
          <w:tab w:val="left" w:pos="1094"/>
        </w:tabs>
        <w:ind w:hanging="361"/>
        <w:rPr>
          <w:sz w:val="20"/>
        </w:rPr>
      </w:pPr>
      <w:r>
        <w:rPr>
          <w:sz w:val="20"/>
        </w:rPr>
        <w:t>35</w:t>
      </w:r>
      <w:r>
        <w:rPr>
          <w:spacing w:val="-2"/>
          <w:sz w:val="20"/>
        </w:rPr>
        <w:t xml:space="preserve"> </w:t>
      </w:r>
      <w:r>
        <w:rPr>
          <w:sz w:val="20"/>
        </w:rPr>
        <w:t>jeunes et animateurs</w:t>
      </w:r>
      <w:r>
        <w:rPr>
          <w:spacing w:val="1"/>
          <w:sz w:val="20"/>
        </w:rPr>
        <w:t xml:space="preserve"> </w:t>
      </w:r>
      <w:r>
        <w:rPr>
          <w:sz w:val="20"/>
        </w:rPr>
        <w:t>se sont</w:t>
      </w:r>
      <w:r>
        <w:rPr>
          <w:spacing w:val="1"/>
          <w:sz w:val="20"/>
        </w:rPr>
        <w:t xml:space="preserve"> </w:t>
      </w:r>
      <w:r>
        <w:rPr>
          <w:sz w:val="20"/>
        </w:rPr>
        <w:t>rencontrés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cadre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MEJ</w:t>
      </w:r>
      <w:r w:rsidR="00C3121F">
        <w:rPr>
          <w:sz w:val="20"/>
        </w:rPr>
        <w:t>.</w:t>
      </w:r>
    </w:p>
    <w:p w14:paraId="4A48E361" w14:textId="66F61F5B" w:rsidR="00475CB3" w:rsidRDefault="00475CB3">
      <w:pPr>
        <w:pStyle w:val="Paragraphedeliste"/>
        <w:numPr>
          <w:ilvl w:val="0"/>
          <w:numId w:val="1"/>
        </w:numPr>
        <w:tabs>
          <w:tab w:val="left" w:pos="1093"/>
          <w:tab w:val="left" w:pos="1094"/>
        </w:tabs>
        <w:ind w:hanging="361"/>
        <w:rPr>
          <w:sz w:val="20"/>
        </w:rPr>
      </w:pPr>
      <w:r>
        <w:rPr>
          <w:sz w:val="20"/>
        </w:rPr>
        <w:t>15 jeunes</w:t>
      </w:r>
      <w:r w:rsidR="00294B30">
        <w:rPr>
          <w:sz w:val="20"/>
        </w:rPr>
        <w:t xml:space="preserve"> adultes</w:t>
      </w:r>
      <w:r>
        <w:rPr>
          <w:sz w:val="20"/>
        </w:rPr>
        <w:t xml:space="preserve"> ont participé aux JMJ de Lisbonne</w:t>
      </w:r>
      <w:r w:rsidR="001C1A19">
        <w:rPr>
          <w:sz w:val="20"/>
        </w:rPr>
        <w:t>.</w:t>
      </w:r>
    </w:p>
    <w:p w14:paraId="3C2B2277" w14:textId="4CD8561C" w:rsidR="0047266E" w:rsidRDefault="00782ADB">
      <w:pPr>
        <w:pStyle w:val="Paragraphedeliste"/>
        <w:numPr>
          <w:ilvl w:val="0"/>
          <w:numId w:val="1"/>
        </w:numPr>
        <w:tabs>
          <w:tab w:val="left" w:pos="1093"/>
          <w:tab w:val="left" w:pos="1094"/>
        </w:tabs>
        <w:spacing w:line="254" w:lineRule="exact"/>
        <w:ind w:hanging="361"/>
        <w:rPr>
          <w:sz w:val="20"/>
        </w:rPr>
      </w:pPr>
      <w:r>
        <w:rPr>
          <w:sz w:val="20"/>
        </w:rPr>
        <w:t>1</w:t>
      </w:r>
      <w:r w:rsidR="00CF5FC1"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couples</w:t>
      </w:r>
      <w:r>
        <w:rPr>
          <w:spacing w:val="-3"/>
          <w:sz w:val="20"/>
        </w:rPr>
        <w:t xml:space="preserve"> </w:t>
      </w:r>
      <w:r>
        <w:rPr>
          <w:sz w:val="20"/>
        </w:rPr>
        <w:t>ont</w:t>
      </w:r>
      <w:r>
        <w:rPr>
          <w:spacing w:val="-2"/>
          <w:sz w:val="20"/>
        </w:rPr>
        <w:t xml:space="preserve"> </w:t>
      </w:r>
      <w:r>
        <w:rPr>
          <w:sz w:val="20"/>
        </w:rPr>
        <w:t>préparé</w:t>
      </w:r>
      <w:r>
        <w:rPr>
          <w:spacing w:val="41"/>
          <w:sz w:val="20"/>
        </w:rPr>
        <w:t xml:space="preserve"> </w:t>
      </w:r>
      <w:r>
        <w:rPr>
          <w:sz w:val="20"/>
        </w:rPr>
        <w:t>leur</w:t>
      </w:r>
      <w:r>
        <w:rPr>
          <w:spacing w:val="3"/>
          <w:sz w:val="20"/>
        </w:rPr>
        <w:t xml:space="preserve"> </w:t>
      </w:r>
      <w:r>
        <w:rPr>
          <w:sz w:val="20"/>
        </w:rPr>
        <w:t>mariage</w:t>
      </w:r>
      <w:r w:rsidR="00C3121F">
        <w:rPr>
          <w:sz w:val="20"/>
        </w:rPr>
        <w:t>.</w:t>
      </w:r>
    </w:p>
    <w:p w14:paraId="5DD612A9" w14:textId="00E31DA9" w:rsidR="0047266E" w:rsidRDefault="00242357">
      <w:pPr>
        <w:pStyle w:val="Paragraphedeliste"/>
        <w:numPr>
          <w:ilvl w:val="0"/>
          <w:numId w:val="1"/>
        </w:numPr>
        <w:tabs>
          <w:tab w:val="left" w:pos="1093"/>
          <w:tab w:val="left" w:pos="1094"/>
        </w:tabs>
        <w:ind w:hanging="361"/>
        <w:rPr>
          <w:sz w:val="20"/>
        </w:rPr>
      </w:pPr>
      <w:r>
        <w:rPr>
          <w:sz w:val="20"/>
        </w:rPr>
        <w:t>1</w:t>
      </w:r>
      <w:r w:rsidR="00CF5FC1"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baptêmes</w:t>
      </w:r>
      <w:r w:rsidR="008D2FDF">
        <w:rPr>
          <w:sz w:val="20"/>
        </w:rPr>
        <w:t xml:space="preserve"> d’enfants et d’adultes</w:t>
      </w:r>
      <w:r>
        <w:rPr>
          <w:spacing w:val="-3"/>
          <w:sz w:val="20"/>
        </w:rPr>
        <w:t xml:space="preserve"> </w:t>
      </w:r>
      <w:r>
        <w:rPr>
          <w:sz w:val="20"/>
        </w:rPr>
        <w:t>ont</w:t>
      </w:r>
      <w:r>
        <w:rPr>
          <w:spacing w:val="-1"/>
          <w:sz w:val="20"/>
        </w:rPr>
        <w:t xml:space="preserve"> </w:t>
      </w:r>
      <w:r>
        <w:rPr>
          <w:sz w:val="20"/>
        </w:rPr>
        <w:t>été</w:t>
      </w:r>
      <w:r>
        <w:rPr>
          <w:spacing w:val="-2"/>
          <w:sz w:val="20"/>
        </w:rPr>
        <w:t xml:space="preserve"> </w:t>
      </w:r>
      <w:r>
        <w:rPr>
          <w:sz w:val="20"/>
        </w:rPr>
        <w:t>célébrés</w:t>
      </w:r>
      <w:r w:rsidR="00FF1771">
        <w:rPr>
          <w:sz w:val="20"/>
        </w:rPr>
        <w:t>.</w:t>
      </w:r>
    </w:p>
    <w:p w14:paraId="7896B8A7" w14:textId="77777777" w:rsidR="0047266E" w:rsidRDefault="0047266E">
      <w:pPr>
        <w:pStyle w:val="Corpsdetexte"/>
        <w:spacing w:before="10"/>
        <w:rPr>
          <w:sz w:val="19"/>
        </w:rPr>
      </w:pPr>
    </w:p>
    <w:p w14:paraId="5402557A" w14:textId="42260887" w:rsidR="00100922" w:rsidRPr="000F2899" w:rsidRDefault="00100922" w:rsidP="00100922">
      <w:pPr>
        <w:pStyle w:val="Corpsdetexte"/>
        <w:spacing w:before="1"/>
        <w:ind w:left="100" w:right="116"/>
        <w:jc w:val="both"/>
      </w:pPr>
      <w:r w:rsidRPr="000F2899">
        <w:t>En</w:t>
      </w:r>
      <w:r w:rsidRPr="000F2899">
        <w:rPr>
          <w:spacing w:val="1"/>
        </w:rPr>
        <w:t xml:space="preserve"> </w:t>
      </w:r>
      <w:r w:rsidRPr="000F2899">
        <w:t>202</w:t>
      </w:r>
      <w:r w:rsidR="000F2899" w:rsidRPr="000F2899">
        <w:t>3</w:t>
      </w:r>
      <w:r w:rsidRPr="000F2899">
        <w:t>,</w:t>
      </w:r>
      <w:r w:rsidRPr="000F2899">
        <w:rPr>
          <w:spacing w:val="1"/>
        </w:rPr>
        <w:t xml:space="preserve"> </w:t>
      </w:r>
      <w:r w:rsidR="001C1A19">
        <w:t>l</w:t>
      </w:r>
      <w:r w:rsidRPr="000F2899">
        <w:t>es</w:t>
      </w:r>
      <w:r w:rsidRPr="000F2899">
        <w:rPr>
          <w:spacing w:val="1"/>
        </w:rPr>
        <w:t xml:space="preserve"> </w:t>
      </w:r>
      <w:r w:rsidR="001C1A19">
        <w:t xml:space="preserve">actions </w:t>
      </w:r>
      <w:r w:rsidRPr="000F2899">
        <w:t>de</w:t>
      </w:r>
      <w:r w:rsidRPr="000F2899">
        <w:rPr>
          <w:spacing w:val="1"/>
        </w:rPr>
        <w:t xml:space="preserve"> </w:t>
      </w:r>
      <w:r w:rsidRPr="000F2899">
        <w:t>la</w:t>
      </w:r>
      <w:r w:rsidRPr="000F2899">
        <w:rPr>
          <w:spacing w:val="1"/>
        </w:rPr>
        <w:t xml:space="preserve"> </w:t>
      </w:r>
      <w:r w:rsidRPr="000F2899">
        <w:t>pastorale</w:t>
      </w:r>
      <w:r w:rsidR="00475CB3">
        <w:t xml:space="preserve"> de Notre-Dame d’Espérance</w:t>
      </w:r>
      <w:r w:rsidRPr="000F2899">
        <w:rPr>
          <w:spacing w:val="1"/>
        </w:rPr>
        <w:t xml:space="preserve"> </w:t>
      </w:r>
      <w:r w:rsidRPr="000F2899">
        <w:t>ont</w:t>
      </w:r>
      <w:r w:rsidRPr="000F2899">
        <w:rPr>
          <w:spacing w:val="1"/>
        </w:rPr>
        <w:t xml:space="preserve"> </w:t>
      </w:r>
      <w:r w:rsidRPr="000F2899">
        <w:t>été</w:t>
      </w:r>
      <w:r w:rsidRPr="000F2899">
        <w:rPr>
          <w:spacing w:val="1"/>
        </w:rPr>
        <w:t xml:space="preserve"> </w:t>
      </w:r>
      <w:r w:rsidRPr="000F2899">
        <w:t>poursuivi</w:t>
      </w:r>
      <w:r w:rsidR="001C1A19">
        <w:t>e</w:t>
      </w:r>
      <w:r w:rsidRPr="000F2899">
        <w:t>s</w:t>
      </w:r>
      <w:r w:rsidRPr="000F2899">
        <w:rPr>
          <w:spacing w:val="1"/>
        </w:rPr>
        <w:t xml:space="preserve"> </w:t>
      </w:r>
      <w:r w:rsidRPr="000F2899">
        <w:t>à travers : l’écologie,</w:t>
      </w:r>
      <w:r w:rsidRPr="000F2899">
        <w:rPr>
          <w:spacing w:val="1"/>
        </w:rPr>
        <w:t xml:space="preserve"> </w:t>
      </w:r>
      <w:r w:rsidRPr="000F2899">
        <w:t>la</w:t>
      </w:r>
      <w:r w:rsidRPr="000F2899">
        <w:rPr>
          <w:spacing w:val="1"/>
        </w:rPr>
        <w:t xml:space="preserve"> </w:t>
      </w:r>
      <w:r w:rsidRPr="000F2899">
        <w:t>culture,</w:t>
      </w:r>
      <w:r w:rsidRPr="000F2899">
        <w:rPr>
          <w:spacing w:val="1"/>
        </w:rPr>
        <w:t xml:space="preserve"> </w:t>
      </w:r>
      <w:r w:rsidR="002E07CC" w:rsidRPr="000F2899">
        <w:t>Hiver Solidaire</w:t>
      </w:r>
      <w:r w:rsidRPr="000F2899">
        <w:t>,</w:t>
      </w:r>
      <w:r w:rsidRPr="000F2899">
        <w:rPr>
          <w:spacing w:val="1"/>
        </w:rPr>
        <w:t xml:space="preserve"> </w:t>
      </w:r>
      <w:r w:rsidR="002E07CC" w:rsidRPr="000F2899">
        <w:t>Point R</w:t>
      </w:r>
      <w:r w:rsidRPr="000F2899">
        <w:t>encontre,</w:t>
      </w:r>
      <w:r w:rsidRPr="000F2899">
        <w:rPr>
          <w:spacing w:val="1"/>
        </w:rPr>
        <w:t xml:space="preserve"> </w:t>
      </w:r>
      <w:r w:rsidR="008D2FDF" w:rsidRPr="000F2899">
        <w:rPr>
          <w:spacing w:val="1"/>
        </w:rPr>
        <w:t>l</w:t>
      </w:r>
      <w:r w:rsidR="001C1A19">
        <w:rPr>
          <w:spacing w:val="1"/>
        </w:rPr>
        <w:t xml:space="preserve">es </w:t>
      </w:r>
      <w:r w:rsidR="008D2FDF" w:rsidRPr="000F2899">
        <w:rPr>
          <w:spacing w:val="1"/>
        </w:rPr>
        <w:t>équipe</w:t>
      </w:r>
      <w:r w:rsidR="001C1A19">
        <w:rPr>
          <w:spacing w:val="1"/>
        </w:rPr>
        <w:t>s</w:t>
      </w:r>
      <w:r w:rsidR="008D2FDF" w:rsidRPr="000F2899">
        <w:rPr>
          <w:spacing w:val="1"/>
        </w:rPr>
        <w:t xml:space="preserve"> d’accueil, </w:t>
      </w:r>
      <w:r w:rsidRPr="000F2899">
        <w:t>les</w:t>
      </w:r>
      <w:r w:rsidRPr="000F2899">
        <w:rPr>
          <w:spacing w:val="1"/>
        </w:rPr>
        <w:t xml:space="preserve"> </w:t>
      </w:r>
      <w:r w:rsidRPr="000F2899">
        <w:t>petites</w:t>
      </w:r>
      <w:r w:rsidRPr="000F2899">
        <w:rPr>
          <w:spacing w:val="1"/>
        </w:rPr>
        <w:t xml:space="preserve"> </w:t>
      </w:r>
      <w:r w:rsidRPr="000F2899">
        <w:t xml:space="preserve">communautés de foi, </w:t>
      </w:r>
      <w:r w:rsidR="00475CB3">
        <w:t>les initiatives synodales</w:t>
      </w:r>
      <w:r w:rsidRPr="000F2899">
        <w:t xml:space="preserve">, l’animation </w:t>
      </w:r>
      <w:r w:rsidR="00475CB3">
        <w:t>liturgique</w:t>
      </w:r>
      <w:r w:rsidRPr="000F2899">
        <w:t>, l’interreligieux : les groupes paroissiaux sont</w:t>
      </w:r>
      <w:r w:rsidRPr="000F2899">
        <w:rPr>
          <w:spacing w:val="1"/>
        </w:rPr>
        <w:t xml:space="preserve"> </w:t>
      </w:r>
      <w:r w:rsidRPr="000F2899">
        <w:t>des</w:t>
      </w:r>
      <w:r w:rsidRPr="000F2899">
        <w:rPr>
          <w:spacing w:val="1"/>
        </w:rPr>
        <w:t xml:space="preserve"> </w:t>
      </w:r>
      <w:r w:rsidRPr="000F2899">
        <w:t>lieux</w:t>
      </w:r>
      <w:r w:rsidRPr="000F2899">
        <w:rPr>
          <w:spacing w:val="1"/>
        </w:rPr>
        <w:t xml:space="preserve"> </w:t>
      </w:r>
      <w:r w:rsidRPr="000F2899">
        <w:t>de</w:t>
      </w:r>
      <w:r w:rsidRPr="000F2899">
        <w:rPr>
          <w:spacing w:val="1"/>
        </w:rPr>
        <w:t xml:space="preserve"> </w:t>
      </w:r>
      <w:r w:rsidRPr="000F2899">
        <w:t>vie</w:t>
      </w:r>
      <w:r w:rsidRPr="000F2899">
        <w:rPr>
          <w:spacing w:val="1"/>
        </w:rPr>
        <w:t xml:space="preserve"> </w:t>
      </w:r>
      <w:r w:rsidRPr="000F2899">
        <w:t>et</w:t>
      </w:r>
      <w:r w:rsidRPr="000F2899">
        <w:rPr>
          <w:spacing w:val="1"/>
        </w:rPr>
        <w:t xml:space="preserve"> </w:t>
      </w:r>
      <w:r w:rsidRPr="000F2899">
        <w:t>d’engagement</w:t>
      </w:r>
      <w:r w:rsidRPr="000F2899">
        <w:rPr>
          <w:spacing w:val="1"/>
        </w:rPr>
        <w:t xml:space="preserve"> </w:t>
      </w:r>
      <w:r w:rsidRPr="000F2899">
        <w:t>qui</w:t>
      </w:r>
      <w:r w:rsidRPr="000F2899">
        <w:rPr>
          <w:spacing w:val="1"/>
        </w:rPr>
        <w:t xml:space="preserve"> </w:t>
      </w:r>
      <w:r w:rsidRPr="000F2899">
        <w:t>tissent</w:t>
      </w:r>
      <w:r w:rsidRPr="000F2899">
        <w:rPr>
          <w:spacing w:val="1"/>
        </w:rPr>
        <w:t xml:space="preserve"> </w:t>
      </w:r>
      <w:r w:rsidRPr="000F2899">
        <w:t>des</w:t>
      </w:r>
      <w:r w:rsidRPr="000F2899">
        <w:rPr>
          <w:spacing w:val="1"/>
        </w:rPr>
        <w:t xml:space="preserve"> </w:t>
      </w:r>
      <w:r w:rsidRPr="000F2899">
        <w:t>liens</w:t>
      </w:r>
      <w:r w:rsidRPr="000F2899">
        <w:rPr>
          <w:spacing w:val="1"/>
        </w:rPr>
        <w:t xml:space="preserve"> </w:t>
      </w:r>
      <w:r w:rsidRPr="000F2899">
        <w:t>attendus</w:t>
      </w:r>
      <w:r w:rsidRPr="000F2899">
        <w:rPr>
          <w:spacing w:val="-3"/>
        </w:rPr>
        <w:t xml:space="preserve"> </w:t>
      </w:r>
      <w:r w:rsidRPr="000F2899">
        <w:t>dans</w:t>
      </w:r>
      <w:r w:rsidRPr="000F2899">
        <w:rPr>
          <w:spacing w:val="-1"/>
        </w:rPr>
        <w:t xml:space="preserve"> </w:t>
      </w:r>
      <w:r w:rsidRPr="000F2899">
        <w:t>le</w:t>
      </w:r>
      <w:r w:rsidRPr="000F2899">
        <w:rPr>
          <w:spacing w:val="-1"/>
        </w:rPr>
        <w:t xml:space="preserve"> </w:t>
      </w:r>
      <w:r w:rsidRPr="000F2899">
        <w:t>11</w:t>
      </w:r>
      <w:r w:rsidRPr="000F2899">
        <w:rPr>
          <w:vertAlign w:val="superscript"/>
        </w:rPr>
        <w:t>ème</w:t>
      </w:r>
      <w:r w:rsidR="00475CB3">
        <w:t xml:space="preserve">, </w:t>
      </w:r>
      <w:r w:rsidRPr="000F2899">
        <w:t>et</w:t>
      </w:r>
      <w:r w:rsidRPr="000F2899">
        <w:rPr>
          <w:spacing w:val="-1"/>
        </w:rPr>
        <w:t xml:space="preserve"> </w:t>
      </w:r>
      <w:r w:rsidRPr="000F2899">
        <w:t>au-delà</w:t>
      </w:r>
      <w:r w:rsidRPr="000F2899">
        <w:rPr>
          <w:spacing w:val="1"/>
        </w:rPr>
        <w:t xml:space="preserve"> </w:t>
      </w:r>
      <w:r w:rsidRPr="000F2899">
        <w:t>dans</w:t>
      </w:r>
      <w:r w:rsidRPr="000F2899">
        <w:rPr>
          <w:spacing w:val="-1"/>
        </w:rPr>
        <w:t xml:space="preserve"> </w:t>
      </w:r>
      <w:r w:rsidRPr="000F2899">
        <w:t>la</w:t>
      </w:r>
      <w:r w:rsidRPr="000F2899">
        <w:rPr>
          <w:spacing w:val="-1"/>
        </w:rPr>
        <w:t xml:space="preserve"> </w:t>
      </w:r>
      <w:r w:rsidRPr="000F2899">
        <w:t>ville</w:t>
      </w:r>
      <w:r w:rsidRPr="000F2899">
        <w:rPr>
          <w:spacing w:val="-2"/>
        </w:rPr>
        <w:t xml:space="preserve"> </w:t>
      </w:r>
      <w:r w:rsidRPr="000F2899">
        <w:t>et</w:t>
      </w:r>
      <w:r w:rsidRPr="000F2899">
        <w:rPr>
          <w:spacing w:val="-1"/>
        </w:rPr>
        <w:t xml:space="preserve"> </w:t>
      </w:r>
      <w:r w:rsidRPr="000F2899">
        <w:t>le</w:t>
      </w:r>
      <w:r w:rsidRPr="000F2899">
        <w:rPr>
          <w:spacing w:val="-1"/>
        </w:rPr>
        <w:t xml:space="preserve"> </w:t>
      </w:r>
      <w:r w:rsidRPr="000F2899">
        <w:t>diocèse</w:t>
      </w:r>
      <w:r w:rsidR="00475CB3">
        <w:t xml:space="preserve"> de Paris</w:t>
      </w:r>
      <w:r w:rsidRPr="000F2899">
        <w:t>.</w:t>
      </w:r>
    </w:p>
    <w:sectPr w:rsidR="00100922" w:rsidRPr="000F2899">
      <w:type w:val="continuous"/>
      <w:pgSz w:w="16840" w:h="11910" w:orient="landscape"/>
      <w:pgMar w:top="160" w:right="600" w:bottom="280" w:left="620" w:header="720" w:footer="720" w:gutter="0"/>
      <w:cols w:num="2" w:space="720" w:equalWidth="0">
        <w:col w:w="7483" w:space="576"/>
        <w:col w:w="75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38E3"/>
    <w:multiLevelType w:val="hybridMultilevel"/>
    <w:tmpl w:val="45927ECA"/>
    <w:lvl w:ilvl="0" w:tplc="6CB6050A">
      <w:numFmt w:val="bullet"/>
      <w:lvlText w:val=""/>
      <w:lvlJc w:val="left"/>
      <w:pPr>
        <w:ind w:left="109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A9745CBE">
      <w:numFmt w:val="bullet"/>
      <w:lvlText w:val="•"/>
      <w:lvlJc w:val="left"/>
      <w:pPr>
        <w:ind w:left="1745" w:hanging="360"/>
      </w:pPr>
      <w:rPr>
        <w:rFonts w:hint="default"/>
        <w:lang w:val="fr-FR" w:eastAsia="en-US" w:bidi="ar-SA"/>
      </w:rPr>
    </w:lvl>
    <w:lvl w:ilvl="2" w:tplc="3926B6A4">
      <w:numFmt w:val="bullet"/>
      <w:lvlText w:val="•"/>
      <w:lvlJc w:val="left"/>
      <w:pPr>
        <w:ind w:left="2391" w:hanging="360"/>
      </w:pPr>
      <w:rPr>
        <w:rFonts w:hint="default"/>
        <w:lang w:val="fr-FR" w:eastAsia="en-US" w:bidi="ar-SA"/>
      </w:rPr>
    </w:lvl>
    <w:lvl w:ilvl="3" w:tplc="66F08D7C">
      <w:numFmt w:val="bullet"/>
      <w:lvlText w:val="•"/>
      <w:lvlJc w:val="left"/>
      <w:pPr>
        <w:ind w:left="3037" w:hanging="360"/>
      </w:pPr>
      <w:rPr>
        <w:rFonts w:hint="default"/>
        <w:lang w:val="fr-FR" w:eastAsia="en-US" w:bidi="ar-SA"/>
      </w:rPr>
    </w:lvl>
    <w:lvl w:ilvl="4" w:tplc="6FA2F62A">
      <w:numFmt w:val="bullet"/>
      <w:lvlText w:val="•"/>
      <w:lvlJc w:val="left"/>
      <w:pPr>
        <w:ind w:left="3683" w:hanging="360"/>
      </w:pPr>
      <w:rPr>
        <w:rFonts w:hint="default"/>
        <w:lang w:val="fr-FR" w:eastAsia="en-US" w:bidi="ar-SA"/>
      </w:rPr>
    </w:lvl>
    <w:lvl w:ilvl="5" w:tplc="5CC2108C">
      <w:numFmt w:val="bullet"/>
      <w:lvlText w:val="•"/>
      <w:lvlJc w:val="left"/>
      <w:pPr>
        <w:ind w:left="4329" w:hanging="360"/>
      </w:pPr>
      <w:rPr>
        <w:rFonts w:hint="default"/>
        <w:lang w:val="fr-FR" w:eastAsia="en-US" w:bidi="ar-SA"/>
      </w:rPr>
    </w:lvl>
    <w:lvl w:ilvl="6" w:tplc="24E0F93E">
      <w:numFmt w:val="bullet"/>
      <w:lvlText w:val="•"/>
      <w:lvlJc w:val="left"/>
      <w:pPr>
        <w:ind w:left="4975" w:hanging="360"/>
      </w:pPr>
      <w:rPr>
        <w:rFonts w:hint="default"/>
        <w:lang w:val="fr-FR" w:eastAsia="en-US" w:bidi="ar-SA"/>
      </w:rPr>
    </w:lvl>
    <w:lvl w:ilvl="7" w:tplc="4F341826">
      <w:numFmt w:val="bullet"/>
      <w:lvlText w:val="•"/>
      <w:lvlJc w:val="left"/>
      <w:pPr>
        <w:ind w:left="5621" w:hanging="360"/>
      </w:pPr>
      <w:rPr>
        <w:rFonts w:hint="default"/>
        <w:lang w:val="fr-FR" w:eastAsia="en-US" w:bidi="ar-SA"/>
      </w:rPr>
    </w:lvl>
    <w:lvl w:ilvl="8" w:tplc="C4266B80">
      <w:numFmt w:val="bullet"/>
      <w:lvlText w:val="•"/>
      <w:lvlJc w:val="left"/>
      <w:pPr>
        <w:ind w:left="6267" w:hanging="360"/>
      </w:pPr>
      <w:rPr>
        <w:rFonts w:hint="default"/>
        <w:lang w:val="fr-FR" w:eastAsia="en-US" w:bidi="ar-SA"/>
      </w:rPr>
    </w:lvl>
  </w:abstractNum>
  <w:num w:numId="1" w16cid:durableId="91108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6E"/>
    <w:rsid w:val="00014E68"/>
    <w:rsid w:val="000262E9"/>
    <w:rsid w:val="0004712B"/>
    <w:rsid w:val="000659C3"/>
    <w:rsid w:val="00066A68"/>
    <w:rsid w:val="000820FA"/>
    <w:rsid w:val="000839FC"/>
    <w:rsid w:val="000A11CF"/>
    <w:rsid w:val="000A74D1"/>
    <w:rsid w:val="000C6D3D"/>
    <w:rsid w:val="000C7A60"/>
    <w:rsid w:val="000E3CCC"/>
    <w:rsid w:val="000F2899"/>
    <w:rsid w:val="00100922"/>
    <w:rsid w:val="00103615"/>
    <w:rsid w:val="0015405C"/>
    <w:rsid w:val="00155AFD"/>
    <w:rsid w:val="00157F81"/>
    <w:rsid w:val="00163CEA"/>
    <w:rsid w:val="00171709"/>
    <w:rsid w:val="00177D92"/>
    <w:rsid w:val="001A0E36"/>
    <w:rsid w:val="001C1A19"/>
    <w:rsid w:val="001C3858"/>
    <w:rsid w:val="001D1E8C"/>
    <w:rsid w:val="001F2B0F"/>
    <w:rsid w:val="00222237"/>
    <w:rsid w:val="00242357"/>
    <w:rsid w:val="00245AB4"/>
    <w:rsid w:val="00260E8D"/>
    <w:rsid w:val="00262308"/>
    <w:rsid w:val="00292E95"/>
    <w:rsid w:val="00294B30"/>
    <w:rsid w:val="002B0427"/>
    <w:rsid w:val="002B1D4D"/>
    <w:rsid w:val="002E07CC"/>
    <w:rsid w:val="002F3E77"/>
    <w:rsid w:val="00385081"/>
    <w:rsid w:val="00394687"/>
    <w:rsid w:val="00396CC3"/>
    <w:rsid w:val="003C18E1"/>
    <w:rsid w:val="00400B29"/>
    <w:rsid w:val="00407FC3"/>
    <w:rsid w:val="00424844"/>
    <w:rsid w:val="004576B4"/>
    <w:rsid w:val="0047025E"/>
    <w:rsid w:val="0047266E"/>
    <w:rsid w:val="00475CB3"/>
    <w:rsid w:val="004950A0"/>
    <w:rsid w:val="004A58BB"/>
    <w:rsid w:val="004C649B"/>
    <w:rsid w:val="004D2916"/>
    <w:rsid w:val="004F2D0A"/>
    <w:rsid w:val="00504A8D"/>
    <w:rsid w:val="005223D1"/>
    <w:rsid w:val="005241A6"/>
    <w:rsid w:val="00543C20"/>
    <w:rsid w:val="0055753F"/>
    <w:rsid w:val="00560B66"/>
    <w:rsid w:val="00561495"/>
    <w:rsid w:val="005737E5"/>
    <w:rsid w:val="00577C32"/>
    <w:rsid w:val="005A70C7"/>
    <w:rsid w:val="005C3F82"/>
    <w:rsid w:val="005C717F"/>
    <w:rsid w:val="005F0324"/>
    <w:rsid w:val="00600907"/>
    <w:rsid w:val="00630D9D"/>
    <w:rsid w:val="006510C3"/>
    <w:rsid w:val="006610D5"/>
    <w:rsid w:val="00680B6D"/>
    <w:rsid w:val="006872E4"/>
    <w:rsid w:val="006956EA"/>
    <w:rsid w:val="006B7421"/>
    <w:rsid w:val="006D11E3"/>
    <w:rsid w:val="006F1389"/>
    <w:rsid w:val="006F520F"/>
    <w:rsid w:val="00725D7E"/>
    <w:rsid w:val="00735FC5"/>
    <w:rsid w:val="00740C5E"/>
    <w:rsid w:val="0076098F"/>
    <w:rsid w:val="00774C95"/>
    <w:rsid w:val="00774D17"/>
    <w:rsid w:val="00782ADB"/>
    <w:rsid w:val="008006B3"/>
    <w:rsid w:val="00850582"/>
    <w:rsid w:val="008520FF"/>
    <w:rsid w:val="00882815"/>
    <w:rsid w:val="008A6FF9"/>
    <w:rsid w:val="008C10C8"/>
    <w:rsid w:val="008D1EF0"/>
    <w:rsid w:val="008D2FDF"/>
    <w:rsid w:val="008D3C95"/>
    <w:rsid w:val="008D77A5"/>
    <w:rsid w:val="00903925"/>
    <w:rsid w:val="0091580E"/>
    <w:rsid w:val="00954A13"/>
    <w:rsid w:val="009645E8"/>
    <w:rsid w:val="0098397E"/>
    <w:rsid w:val="009A399A"/>
    <w:rsid w:val="00A15C9A"/>
    <w:rsid w:val="00AA0498"/>
    <w:rsid w:val="00AB5E2B"/>
    <w:rsid w:val="00B47A9D"/>
    <w:rsid w:val="00B5774E"/>
    <w:rsid w:val="00BB234C"/>
    <w:rsid w:val="00BC1AB3"/>
    <w:rsid w:val="00BC2123"/>
    <w:rsid w:val="00BD49C4"/>
    <w:rsid w:val="00C27443"/>
    <w:rsid w:val="00C3121F"/>
    <w:rsid w:val="00C55DA8"/>
    <w:rsid w:val="00C606CF"/>
    <w:rsid w:val="00CF5FC1"/>
    <w:rsid w:val="00D74EE1"/>
    <w:rsid w:val="00DA3CBE"/>
    <w:rsid w:val="00E650E7"/>
    <w:rsid w:val="00E738BA"/>
    <w:rsid w:val="00E91EEF"/>
    <w:rsid w:val="00EB6395"/>
    <w:rsid w:val="00EB70B2"/>
    <w:rsid w:val="00EE4DAD"/>
    <w:rsid w:val="00F8410A"/>
    <w:rsid w:val="00F865E7"/>
    <w:rsid w:val="00F92C33"/>
    <w:rsid w:val="00FA4646"/>
    <w:rsid w:val="00FD199F"/>
    <w:rsid w:val="00FD350F"/>
    <w:rsid w:val="00FD6880"/>
    <w:rsid w:val="00FE0F08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6EE"/>
  <w15:docId w15:val="{67B4F45D-2488-48F6-BF0A-53EC6B92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33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59"/>
      <w:ind w:left="100" w:right="132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0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" w:line="225" w:lineRule="exact"/>
      <w:jc w:val="right"/>
    </w:pPr>
  </w:style>
  <w:style w:type="character" w:customStyle="1" w:styleId="Titre1Car">
    <w:name w:val="Titre 1 Car"/>
    <w:basedOn w:val="Policepardfaut"/>
    <w:link w:val="Titre1"/>
    <w:uiPriority w:val="9"/>
    <w:rsid w:val="00292E95"/>
    <w:rPr>
      <w:rFonts w:ascii="Calibri" w:eastAsia="Calibri" w:hAnsi="Calibri" w:cs="Calibri"/>
      <w:b/>
      <w:bCs/>
      <w:sz w:val="24"/>
      <w:szCs w:val="24"/>
      <w:u w:val="single" w:color="00000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92E95"/>
    <w:rPr>
      <w:rFonts w:ascii="Calibri" w:eastAsia="Calibri" w:hAnsi="Calibri" w:cs="Calibri"/>
      <w:b/>
      <w:bCs/>
      <w:sz w:val="20"/>
      <w:szCs w:val="20"/>
      <w:u w:val="single" w:color="00000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92E95"/>
    <w:rPr>
      <w:rFonts w:ascii="Calibri" w:eastAsia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5988</Characters>
  <Application>Microsoft Office Word</Application>
  <DocSecurity>4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CR Gestion CPAE 2020_projet.docx</vt:lpstr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 Gestion CPAE 2020_projet.docx</dc:title>
  <dc:creator>Michel</dc:creator>
  <cp:lastModifiedBy>Lamartine Valcin</cp:lastModifiedBy>
  <cp:revision>2</cp:revision>
  <cp:lastPrinted>2024-06-07T09:13:00Z</cp:lastPrinted>
  <dcterms:created xsi:type="dcterms:W3CDTF">2024-12-11T09:14:00Z</dcterms:created>
  <dcterms:modified xsi:type="dcterms:W3CDTF">2024-12-11T09:14:00Z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LastSaved">
    <vt:filetime>2022-10-25T00:00:00Z</vt:filetime>
  </property>
</Properties>
</file>